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0A6A" w14:textId="30C94206" w:rsidR="00422A3C" w:rsidRDefault="00422A3C" w:rsidP="00422A3C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7D6A56">
        <w:rPr>
          <w:rFonts w:cs="Arial"/>
          <w:b/>
          <w:sz w:val="28"/>
          <w:szCs w:val="28"/>
          <w:u w:val="single"/>
        </w:rPr>
        <w:t>15</w:t>
      </w:r>
      <w:r w:rsidR="007D6A56" w:rsidRPr="007D6A56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7D6A56">
        <w:rPr>
          <w:rFonts w:cs="Arial"/>
          <w:b/>
          <w:sz w:val="28"/>
          <w:szCs w:val="28"/>
          <w:u w:val="single"/>
        </w:rPr>
        <w:t xml:space="preserve"> May</w:t>
      </w:r>
      <w:r w:rsidR="00B40ACC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202</w:t>
      </w:r>
      <w:r w:rsidR="007D6A56">
        <w:rPr>
          <w:rFonts w:cs="Arial"/>
          <w:b/>
          <w:sz w:val="28"/>
          <w:szCs w:val="28"/>
          <w:u w:val="single"/>
        </w:rPr>
        <w:t>4</w:t>
      </w:r>
    </w:p>
    <w:p w14:paraId="7ADC67DC" w14:textId="77777777" w:rsidR="00422A3C" w:rsidRPr="00CC70B3" w:rsidRDefault="00422A3C" w:rsidP="00422A3C">
      <w:pPr>
        <w:rPr>
          <w:rFonts w:cs="Arial"/>
          <w:b/>
          <w:sz w:val="28"/>
          <w:szCs w:val="28"/>
          <w:u w:val="single"/>
        </w:rPr>
      </w:pPr>
    </w:p>
    <w:p w14:paraId="74895DBA" w14:textId="77777777" w:rsidR="00422A3C" w:rsidRPr="00CC70B3" w:rsidRDefault="00422A3C" w:rsidP="00422A3C">
      <w:pPr>
        <w:jc w:val="center"/>
        <w:rPr>
          <w:rFonts w:cs="Arial"/>
        </w:rPr>
      </w:pPr>
      <w:r w:rsidRPr="00CC70B3">
        <w:rPr>
          <w:rFonts w:cs="Arial"/>
        </w:rPr>
        <w:t>14a High Street, Staple Hill, Bristol, BS16 5HP</w:t>
      </w:r>
    </w:p>
    <w:p w14:paraId="54DD9DAF" w14:textId="77777777" w:rsidR="00422A3C" w:rsidRDefault="00422A3C" w:rsidP="00422A3C">
      <w:pPr>
        <w:jc w:val="center"/>
        <w:rPr>
          <w:rFonts w:cs="Arial"/>
        </w:rPr>
      </w:pPr>
      <w:r w:rsidRPr="00CC70B3">
        <w:rPr>
          <w:rFonts w:cs="Arial"/>
        </w:rPr>
        <w:t>9am – 5pm</w:t>
      </w:r>
    </w:p>
    <w:p w14:paraId="54F718D1" w14:textId="77777777" w:rsidR="00422A3C" w:rsidRPr="00CC70B3" w:rsidRDefault="00422A3C" w:rsidP="00422A3C">
      <w:pPr>
        <w:jc w:val="center"/>
        <w:rPr>
          <w:rFonts w:cs="Arial"/>
        </w:rPr>
      </w:pPr>
    </w:p>
    <w:p w14:paraId="13B6435A" w14:textId="078275AF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>
        <w:rPr>
          <w:rFonts w:cs="Arial"/>
        </w:rPr>
        <w:t>Lisa Fisher, Richard Brown,</w:t>
      </w:r>
      <w:r w:rsidR="00701A17">
        <w:rPr>
          <w:rFonts w:cs="Arial"/>
        </w:rPr>
        <w:t xml:space="preserve"> Heather Blandford, Morag McMeekin, Tim Rendell,</w:t>
      </w:r>
      <w:r w:rsidR="00746A88">
        <w:rPr>
          <w:rFonts w:cs="Arial"/>
        </w:rPr>
        <w:t xml:space="preserve"> </w:t>
      </w:r>
      <w:r w:rsidR="00701A17">
        <w:rPr>
          <w:rFonts w:cs="Arial"/>
        </w:rPr>
        <w:t>Imran Ahmed, Philip Hunt, Philip Bush, Ramesh Yadav, Simon Harris, John Hughes.</w:t>
      </w:r>
    </w:p>
    <w:p w14:paraId="5E98C586" w14:textId="77777777" w:rsidR="00422A3C" w:rsidRPr="00CC70B3" w:rsidRDefault="00422A3C" w:rsidP="00422A3C">
      <w:pPr>
        <w:rPr>
          <w:rFonts w:cs="Arial"/>
        </w:rPr>
      </w:pPr>
    </w:p>
    <w:p w14:paraId="25DE8FA1" w14:textId="5A2C161E" w:rsidR="00422A3C" w:rsidRDefault="00422A3C" w:rsidP="00422A3C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7D6A56">
        <w:rPr>
          <w:rFonts w:cs="Arial"/>
        </w:rPr>
        <w:t>Joshua Edwards</w:t>
      </w:r>
      <w:r w:rsidR="00746A88">
        <w:rPr>
          <w:rFonts w:cs="Arial"/>
        </w:rPr>
        <w:t>, Andrew Jones.</w:t>
      </w:r>
    </w:p>
    <w:p w14:paraId="6638E72E" w14:textId="74A595F7" w:rsidR="00422A3C" w:rsidRDefault="00422A3C" w:rsidP="00422A3C">
      <w:pPr>
        <w:tabs>
          <w:tab w:val="center" w:pos="4513"/>
        </w:tabs>
        <w:rPr>
          <w:rFonts w:cs="Arial"/>
        </w:rPr>
      </w:pPr>
    </w:p>
    <w:p w14:paraId="0F77167A" w14:textId="158D0210" w:rsidR="00746A88" w:rsidRDefault="00746A88" w:rsidP="00422A3C">
      <w:pPr>
        <w:tabs>
          <w:tab w:val="center" w:pos="4513"/>
        </w:tabs>
        <w:rPr>
          <w:rFonts w:cs="Arial"/>
        </w:rPr>
      </w:pPr>
      <w:r>
        <w:rPr>
          <w:rFonts w:cs="Arial"/>
        </w:rPr>
        <w:t>AP - Action Point</w:t>
      </w:r>
    </w:p>
    <w:p w14:paraId="5D94E352" w14:textId="77777777" w:rsidR="00746A88" w:rsidRPr="00CC70B3" w:rsidRDefault="00746A88" w:rsidP="00422A3C">
      <w:pPr>
        <w:tabs>
          <w:tab w:val="center" w:pos="4513"/>
        </w:tabs>
        <w:rPr>
          <w:rFonts w:cs="Arial"/>
        </w:rPr>
      </w:pPr>
    </w:p>
    <w:p w14:paraId="3009CBCB" w14:textId="710B4EF7" w:rsidR="00422A3C" w:rsidRDefault="00422A3C" w:rsidP="00422A3C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</w:p>
    <w:p w14:paraId="02DBFCCC" w14:textId="77777777" w:rsidR="00422A3C" w:rsidRDefault="00422A3C" w:rsidP="00422A3C">
      <w:pPr>
        <w:rPr>
          <w:rFonts w:cs="Arial"/>
        </w:rPr>
      </w:pPr>
    </w:p>
    <w:p w14:paraId="4C7DCD9D" w14:textId="6056FF12" w:rsidR="00422A3C" w:rsidRPr="005B3CBE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 xml:space="preserve">CCA nomination for report </w:t>
      </w:r>
      <w:r w:rsidRPr="005B3CBE">
        <w:rPr>
          <w:rFonts w:cs="Arial"/>
        </w:rPr>
        <w:t xml:space="preserve">– </w:t>
      </w:r>
      <w:r w:rsidR="00746A88">
        <w:rPr>
          <w:rFonts w:cs="Arial"/>
        </w:rPr>
        <w:t>completed in the meeting.</w:t>
      </w:r>
    </w:p>
    <w:p w14:paraId="1145E006" w14:textId="77777777" w:rsidR="00422A3C" w:rsidRDefault="00422A3C" w:rsidP="00422A3C">
      <w:pPr>
        <w:rPr>
          <w:rFonts w:cs="Arial"/>
          <w:sz w:val="22"/>
        </w:rPr>
      </w:pPr>
    </w:p>
    <w:p w14:paraId="06F5EB06" w14:textId="6BA83B2B" w:rsidR="002D6D46" w:rsidRDefault="007D6A56" w:rsidP="005473EE">
      <w:pPr>
        <w:rPr>
          <w:rFonts w:cstheme="minorHAnsi"/>
          <w:u w:val="single"/>
        </w:rPr>
      </w:pPr>
      <w:r w:rsidRPr="0001545E">
        <w:rPr>
          <w:rFonts w:cstheme="minorHAnsi"/>
          <w:u w:val="single"/>
        </w:rPr>
        <w:t>Minutes and action points from previous meeting</w:t>
      </w:r>
    </w:p>
    <w:p w14:paraId="2FF2E28C" w14:textId="13E9ED81" w:rsidR="0001545E" w:rsidRDefault="0001545E" w:rsidP="005473EE">
      <w:pPr>
        <w:rPr>
          <w:rFonts w:cstheme="minorHAnsi"/>
          <w:u w:val="single"/>
        </w:rPr>
      </w:pPr>
    </w:p>
    <w:p w14:paraId="10491CC6" w14:textId="653A0DD5" w:rsidR="0001545E" w:rsidRPr="0001545E" w:rsidRDefault="0001545E" w:rsidP="005473EE">
      <w:pPr>
        <w:rPr>
          <w:rFonts w:cstheme="minorHAnsi"/>
          <w:sz w:val="22"/>
          <w:szCs w:val="22"/>
        </w:rPr>
      </w:pPr>
      <w:r w:rsidRPr="0001545E">
        <w:rPr>
          <w:rFonts w:cstheme="minorHAnsi"/>
          <w:sz w:val="22"/>
          <w:szCs w:val="22"/>
        </w:rPr>
        <w:t>Agreed and uploaded to the website.</w:t>
      </w:r>
    </w:p>
    <w:p w14:paraId="59EDC144" w14:textId="33E1B3E1" w:rsidR="007D6A56" w:rsidRDefault="00746A88" w:rsidP="005473EE">
      <w:pPr>
        <w:rPr>
          <w:rFonts w:cstheme="minorHAnsi"/>
          <w:sz w:val="22"/>
          <w:szCs w:val="22"/>
        </w:rPr>
      </w:pPr>
      <w:r w:rsidRPr="00746A88">
        <w:rPr>
          <w:rFonts w:cstheme="minorHAnsi"/>
          <w:sz w:val="22"/>
          <w:szCs w:val="22"/>
        </w:rPr>
        <w:t>AP - Contracts</w:t>
      </w:r>
      <w:r>
        <w:rPr>
          <w:rFonts w:cstheme="minorHAnsi"/>
          <w:sz w:val="22"/>
          <w:szCs w:val="22"/>
        </w:rPr>
        <w:t xml:space="preserve"> to be completed for Lisa Fisher and Roger Herbert.</w:t>
      </w:r>
    </w:p>
    <w:p w14:paraId="74BE9893" w14:textId="5A5614E2" w:rsidR="00746A88" w:rsidRPr="00746A88" w:rsidRDefault="00746A88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TR has highlighted the regulations </w:t>
      </w:r>
      <w:r w:rsidR="00E3473F">
        <w:rPr>
          <w:rFonts w:cstheme="minorHAnsi"/>
          <w:sz w:val="22"/>
          <w:szCs w:val="22"/>
        </w:rPr>
        <w:t>and the possible assistance this could give when responding to</w:t>
      </w:r>
      <w:r>
        <w:rPr>
          <w:rFonts w:cstheme="minorHAnsi"/>
          <w:sz w:val="22"/>
          <w:szCs w:val="22"/>
        </w:rPr>
        <w:t xml:space="preserve"> contract applications, he will send information to RB to assist with writing replies in the future.</w:t>
      </w:r>
    </w:p>
    <w:p w14:paraId="47C28AC8" w14:textId="77777777" w:rsidR="00746A88" w:rsidRPr="0001545E" w:rsidRDefault="00746A88" w:rsidP="005473EE">
      <w:pPr>
        <w:rPr>
          <w:rFonts w:cstheme="minorHAnsi"/>
          <w:u w:val="single"/>
        </w:rPr>
      </w:pPr>
    </w:p>
    <w:p w14:paraId="048C9E7A" w14:textId="7F3185B5" w:rsidR="007D6A56" w:rsidRDefault="007D6A56" w:rsidP="005473EE">
      <w:pPr>
        <w:rPr>
          <w:rFonts w:cstheme="minorHAnsi"/>
          <w:u w:val="single"/>
        </w:rPr>
      </w:pPr>
      <w:r w:rsidRPr="0001545E">
        <w:rPr>
          <w:rFonts w:cstheme="minorHAnsi"/>
          <w:u w:val="single"/>
        </w:rPr>
        <w:t>Treasurer’s Update</w:t>
      </w:r>
    </w:p>
    <w:p w14:paraId="29E36F16" w14:textId="15295C10" w:rsidR="0001545E" w:rsidRDefault="0001545E" w:rsidP="005473EE">
      <w:pPr>
        <w:rPr>
          <w:rFonts w:cstheme="minorHAnsi"/>
          <w:u w:val="single"/>
        </w:rPr>
      </w:pPr>
    </w:p>
    <w:p w14:paraId="6EBD86B6" w14:textId="07AA3284" w:rsidR="0001545E" w:rsidRDefault="00BB6E6D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PB provided an update to the committee. </w:t>
      </w:r>
    </w:p>
    <w:p w14:paraId="2760B667" w14:textId="7650D030" w:rsidR="00BB6E6D" w:rsidRDefault="00BB6E6D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Discussion around GP CPCS figures</w:t>
      </w:r>
      <w:r w:rsidR="00A97DE0">
        <w:rPr>
          <w:rFonts w:cstheme="minorHAnsi"/>
          <w:sz w:val="22"/>
          <w:szCs w:val="22"/>
        </w:rPr>
        <w:t xml:space="preserve"> and pharmacy first. </w:t>
      </w:r>
    </w:p>
    <w:p w14:paraId="154FC8C3" w14:textId="14C39A08" w:rsidR="003C3C3B" w:rsidRPr="0001545E" w:rsidRDefault="003C3C3B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PB explains the breakdown of accounts and the use for them. There are trackers set up for each account to clearly track the use of the funds.</w:t>
      </w:r>
    </w:p>
    <w:p w14:paraId="7EB1115D" w14:textId="69F41AAA" w:rsidR="007D6A56" w:rsidRPr="0001545E" w:rsidRDefault="007D6A56" w:rsidP="005473EE">
      <w:pPr>
        <w:rPr>
          <w:rFonts w:cstheme="minorHAnsi"/>
          <w:u w:val="single"/>
        </w:rPr>
      </w:pPr>
    </w:p>
    <w:p w14:paraId="663B5D12" w14:textId="02190A22" w:rsidR="007D6A56" w:rsidRDefault="007D6A56" w:rsidP="007D6A56">
      <w:pPr>
        <w:spacing w:before="40"/>
        <w:rPr>
          <w:rFonts w:cstheme="minorHAnsi"/>
          <w:u w:val="single"/>
        </w:rPr>
      </w:pPr>
      <w:r w:rsidRPr="0001545E">
        <w:rPr>
          <w:rFonts w:cstheme="minorHAnsi"/>
          <w:u w:val="single"/>
        </w:rPr>
        <w:t>Governance Committee Break Out</w:t>
      </w:r>
      <w:r w:rsidR="0001545E">
        <w:rPr>
          <w:rFonts w:cstheme="minorHAnsi"/>
          <w:u w:val="single"/>
        </w:rPr>
        <w:t xml:space="preserve"> &amp; Feedback</w:t>
      </w:r>
    </w:p>
    <w:p w14:paraId="4779B1F9" w14:textId="22AD79D9" w:rsidR="0001545E" w:rsidRDefault="0001545E" w:rsidP="007D6A56">
      <w:pPr>
        <w:spacing w:before="40"/>
        <w:rPr>
          <w:rFonts w:cstheme="minorHAnsi"/>
          <w:u w:val="single"/>
        </w:rPr>
      </w:pPr>
    </w:p>
    <w:p w14:paraId="74282BE2" w14:textId="74BA6E9B" w:rsidR="0001545E" w:rsidRDefault="005D1358" w:rsidP="007D6A56">
      <w:pPr>
        <w:spacing w:before="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PH, TR and JH left the room to discuss this</w:t>
      </w:r>
      <w:r w:rsidR="00B37A93">
        <w:rPr>
          <w:rFonts w:cstheme="minorHAnsi"/>
          <w:sz w:val="22"/>
          <w:szCs w:val="22"/>
        </w:rPr>
        <w:t>.</w:t>
      </w:r>
    </w:p>
    <w:p w14:paraId="31B6068F" w14:textId="77777777" w:rsidR="00B37A93" w:rsidRPr="00B37A93" w:rsidRDefault="00B37A93" w:rsidP="00B37A93">
      <w:pPr>
        <w:rPr>
          <w:rFonts w:eastAsia="Times New Roman" w:cstheme="minorHAnsi"/>
          <w:color w:val="000000"/>
          <w:sz w:val="22"/>
          <w:szCs w:val="22"/>
        </w:rPr>
      </w:pPr>
      <w:r w:rsidRPr="00B37A93">
        <w:rPr>
          <w:rFonts w:eastAsia="Times New Roman" w:cstheme="minorHAnsi"/>
          <w:color w:val="000000"/>
          <w:sz w:val="22"/>
          <w:szCs w:val="22"/>
        </w:rPr>
        <w:t>The Governance sub-committee will convene with the appointed members (or appropriate replacements) as, and only when, the need arises. </w:t>
      </w:r>
    </w:p>
    <w:p w14:paraId="2F265C3D" w14:textId="77777777" w:rsidR="00B37A93" w:rsidRPr="00B37A93" w:rsidRDefault="00B37A93" w:rsidP="00B37A93">
      <w:pPr>
        <w:rPr>
          <w:rFonts w:eastAsia="Times New Roman" w:cstheme="minorHAnsi"/>
          <w:color w:val="000000"/>
          <w:sz w:val="22"/>
          <w:szCs w:val="22"/>
        </w:rPr>
      </w:pPr>
      <w:proofErr w:type="gramStart"/>
      <w:r w:rsidRPr="00B37A93">
        <w:rPr>
          <w:rFonts w:eastAsia="Times New Roman" w:cstheme="minorHAnsi"/>
          <w:color w:val="000000"/>
          <w:sz w:val="22"/>
          <w:szCs w:val="22"/>
        </w:rPr>
        <w:t>Otherwise</w:t>
      </w:r>
      <w:proofErr w:type="gramEnd"/>
      <w:r w:rsidRPr="00B37A93">
        <w:rPr>
          <w:rFonts w:eastAsia="Times New Roman" w:cstheme="minorHAnsi"/>
          <w:color w:val="000000"/>
          <w:sz w:val="22"/>
          <w:szCs w:val="22"/>
        </w:rPr>
        <w:t xml:space="preserve"> we shall only monitor and review the overall situation.</w:t>
      </w:r>
    </w:p>
    <w:p w14:paraId="6DAD6427" w14:textId="3B7076B0" w:rsidR="00B37A93" w:rsidRPr="00B37A93" w:rsidRDefault="00BC26AE" w:rsidP="00B37A93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To note,</w:t>
      </w:r>
      <w:r w:rsidR="00B37A93" w:rsidRPr="00B37A93">
        <w:rPr>
          <w:rFonts w:eastAsia="Times New Roman" w:cstheme="minorHAnsi"/>
          <w:color w:val="000000"/>
          <w:sz w:val="22"/>
          <w:szCs w:val="22"/>
        </w:rPr>
        <w:t xml:space="preserve"> should a major </w:t>
      </w:r>
      <w:r>
        <w:rPr>
          <w:rFonts w:eastAsia="Times New Roman" w:cstheme="minorHAnsi"/>
          <w:color w:val="000000"/>
          <w:sz w:val="22"/>
          <w:szCs w:val="22"/>
        </w:rPr>
        <w:t>governance issue</w:t>
      </w:r>
      <w:r w:rsidR="00B37A93" w:rsidRPr="00B37A93">
        <w:rPr>
          <w:rFonts w:eastAsia="Times New Roman" w:cstheme="minorHAnsi"/>
          <w:color w:val="000000"/>
          <w:sz w:val="22"/>
          <w:szCs w:val="22"/>
        </w:rPr>
        <w:t xml:space="preserve"> arise we </w:t>
      </w:r>
      <w:r>
        <w:rPr>
          <w:rFonts w:eastAsia="Times New Roman" w:cstheme="minorHAnsi"/>
          <w:color w:val="000000"/>
          <w:sz w:val="22"/>
          <w:szCs w:val="22"/>
        </w:rPr>
        <w:t>may</w:t>
      </w:r>
      <w:r w:rsidR="00B37A93" w:rsidRPr="00B37A93">
        <w:rPr>
          <w:rFonts w:eastAsia="Times New Roman" w:cstheme="minorHAnsi"/>
          <w:color w:val="000000"/>
          <w:sz w:val="22"/>
          <w:szCs w:val="22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</w:rPr>
        <w:t xml:space="preserve">request </w:t>
      </w:r>
      <w:r w:rsidR="00B37A93" w:rsidRPr="00B37A93">
        <w:rPr>
          <w:rFonts w:eastAsia="Times New Roman" w:cstheme="minorHAnsi"/>
          <w:color w:val="000000"/>
          <w:sz w:val="22"/>
          <w:szCs w:val="22"/>
        </w:rPr>
        <w:t>addition</w:t>
      </w:r>
      <w:r>
        <w:rPr>
          <w:rFonts w:eastAsia="Times New Roman" w:cstheme="minorHAnsi"/>
          <w:color w:val="000000"/>
          <w:sz w:val="22"/>
          <w:szCs w:val="22"/>
        </w:rPr>
        <w:t>al</w:t>
      </w:r>
      <w:r w:rsidR="00B37A93" w:rsidRPr="00B37A93">
        <w:rPr>
          <w:rFonts w:eastAsia="Times New Roman" w:cstheme="minorHAnsi"/>
          <w:color w:val="000000"/>
          <w:sz w:val="22"/>
          <w:szCs w:val="22"/>
        </w:rPr>
        <w:t xml:space="preserve"> legal</w:t>
      </w:r>
      <w:r>
        <w:rPr>
          <w:rFonts w:eastAsia="Times New Roman" w:cstheme="minorHAnsi"/>
          <w:color w:val="000000"/>
          <w:sz w:val="22"/>
          <w:szCs w:val="22"/>
        </w:rPr>
        <w:t xml:space="preserve"> support</w:t>
      </w:r>
      <w:r w:rsidR="00B37A93" w:rsidRPr="00B37A93">
        <w:rPr>
          <w:rFonts w:eastAsia="Times New Roman" w:cstheme="minorHAnsi"/>
          <w:color w:val="000000"/>
          <w:sz w:val="22"/>
          <w:szCs w:val="22"/>
        </w:rPr>
        <w:t xml:space="preserve"> if required</w:t>
      </w:r>
      <w:r w:rsidR="00B37A93">
        <w:rPr>
          <w:rFonts w:eastAsia="Times New Roman" w:cstheme="minorHAnsi"/>
          <w:color w:val="000000"/>
          <w:sz w:val="22"/>
          <w:szCs w:val="22"/>
        </w:rPr>
        <w:t>.</w:t>
      </w:r>
    </w:p>
    <w:p w14:paraId="5C8A970D" w14:textId="77777777" w:rsidR="0001545E" w:rsidRPr="0001545E" w:rsidRDefault="0001545E" w:rsidP="007D6A56">
      <w:pPr>
        <w:spacing w:before="40"/>
        <w:rPr>
          <w:rFonts w:cstheme="minorHAnsi"/>
          <w:u w:val="single"/>
        </w:rPr>
      </w:pPr>
    </w:p>
    <w:p w14:paraId="54AFCB97" w14:textId="48CAE214" w:rsidR="007D6A56" w:rsidRDefault="007D6A56" w:rsidP="007D6A56">
      <w:pPr>
        <w:rPr>
          <w:rFonts w:cstheme="minorHAnsi"/>
          <w:u w:val="single"/>
        </w:rPr>
      </w:pPr>
      <w:r w:rsidRPr="0001545E">
        <w:rPr>
          <w:rFonts w:cstheme="minorHAnsi"/>
          <w:u w:val="single"/>
        </w:rPr>
        <w:t>Conference discussion</w:t>
      </w:r>
    </w:p>
    <w:p w14:paraId="19A09341" w14:textId="15A66537" w:rsidR="007D6A56" w:rsidRDefault="007D6A56" w:rsidP="007D6A56">
      <w:pPr>
        <w:rPr>
          <w:rFonts w:cstheme="minorHAnsi"/>
          <w:u w:val="single"/>
        </w:rPr>
      </w:pPr>
    </w:p>
    <w:p w14:paraId="2B859E90" w14:textId="64860617" w:rsidR="0001545E" w:rsidRDefault="00C92A8D" w:rsidP="007D6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committee </w:t>
      </w:r>
      <w:r w:rsidR="005D1358">
        <w:rPr>
          <w:rFonts w:cstheme="minorHAnsi"/>
          <w:sz w:val="22"/>
          <w:szCs w:val="22"/>
        </w:rPr>
        <w:t>agreed on 16</w:t>
      </w:r>
      <w:r w:rsidR="005D1358" w:rsidRPr="005D1358">
        <w:rPr>
          <w:rFonts w:cstheme="minorHAnsi"/>
          <w:sz w:val="22"/>
          <w:szCs w:val="22"/>
          <w:vertAlign w:val="superscript"/>
        </w:rPr>
        <w:t>th</w:t>
      </w:r>
      <w:r w:rsidR="005D1358">
        <w:rPr>
          <w:rFonts w:cstheme="minorHAnsi"/>
          <w:sz w:val="22"/>
          <w:szCs w:val="22"/>
        </w:rPr>
        <w:t xml:space="preserve"> October for the date of conference, this will be </w:t>
      </w:r>
      <w:r w:rsidR="00E3473F">
        <w:rPr>
          <w:rFonts w:cstheme="minorHAnsi"/>
          <w:sz w:val="22"/>
          <w:szCs w:val="22"/>
        </w:rPr>
        <w:t xml:space="preserve">held </w:t>
      </w:r>
      <w:r w:rsidR="005D1358">
        <w:rPr>
          <w:rFonts w:cstheme="minorHAnsi"/>
          <w:sz w:val="22"/>
          <w:szCs w:val="22"/>
        </w:rPr>
        <w:t xml:space="preserve">at Engineers House in Clifton and will be hybrid. Debbie will try and get sponsors for the event. The sponsors will be offered the chance to send in a short video to be shown on zoom and before the conference starts. </w:t>
      </w:r>
    </w:p>
    <w:p w14:paraId="1AE03F5C" w14:textId="77777777" w:rsidR="005D1358" w:rsidRDefault="005D1358" w:rsidP="007D6A56">
      <w:pPr>
        <w:rPr>
          <w:rFonts w:cstheme="minorHAnsi"/>
          <w:sz w:val="22"/>
          <w:szCs w:val="22"/>
        </w:rPr>
      </w:pPr>
    </w:p>
    <w:p w14:paraId="6E717F35" w14:textId="100967F9" w:rsidR="005D1358" w:rsidRDefault="005D1358" w:rsidP="007D6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awards will run again </w:t>
      </w:r>
      <w:r w:rsidR="00FE23D3">
        <w:rPr>
          <w:rFonts w:cstheme="minorHAnsi"/>
          <w:sz w:val="22"/>
          <w:szCs w:val="22"/>
        </w:rPr>
        <w:t>with the same categories.</w:t>
      </w:r>
    </w:p>
    <w:p w14:paraId="0E48EF85" w14:textId="77777777" w:rsidR="005D1358" w:rsidRDefault="005D1358" w:rsidP="007D6A56">
      <w:pPr>
        <w:rPr>
          <w:rFonts w:cstheme="minorHAnsi"/>
          <w:sz w:val="22"/>
          <w:szCs w:val="22"/>
        </w:rPr>
      </w:pPr>
    </w:p>
    <w:p w14:paraId="1CB10B64" w14:textId="56521539" w:rsidR="005D1358" w:rsidRPr="0001545E" w:rsidRDefault="005D1358" w:rsidP="007D6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</w:t>
      </w:r>
      <w:proofErr w:type="gramStart"/>
      <w:r>
        <w:rPr>
          <w:rFonts w:cstheme="minorHAnsi"/>
          <w:sz w:val="22"/>
          <w:szCs w:val="22"/>
        </w:rPr>
        <w:t>key note</w:t>
      </w:r>
      <w:proofErr w:type="gramEnd"/>
      <w:r>
        <w:rPr>
          <w:rFonts w:cstheme="minorHAnsi"/>
          <w:sz w:val="22"/>
          <w:szCs w:val="22"/>
        </w:rPr>
        <w:t xml:space="preserve"> speaker</w:t>
      </w:r>
      <w:r w:rsidR="00602004">
        <w:rPr>
          <w:rFonts w:cstheme="minorHAnsi"/>
          <w:sz w:val="22"/>
          <w:szCs w:val="22"/>
        </w:rPr>
        <w:t xml:space="preserve"> and format of the conference.</w:t>
      </w:r>
    </w:p>
    <w:p w14:paraId="462171B8" w14:textId="77777777" w:rsidR="0001545E" w:rsidRPr="0001545E" w:rsidRDefault="0001545E" w:rsidP="007D6A56">
      <w:pPr>
        <w:rPr>
          <w:rFonts w:cstheme="minorHAnsi"/>
          <w:u w:val="single"/>
        </w:rPr>
      </w:pPr>
    </w:p>
    <w:p w14:paraId="1ECBA536" w14:textId="0C1481C7" w:rsidR="007D6A56" w:rsidRDefault="007D6A56" w:rsidP="007D6A56">
      <w:pPr>
        <w:rPr>
          <w:rFonts w:cstheme="minorHAnsi"/>
          <w:u w:val="single"/>
        </w:rPr>
      </w:pPr>
      <w:r w:rsidRPr="0001545E">
        <w:rPr>
          <w:rFonts w:cstheme="minorHAnsi"/>
          <w:u w:val="single"/>
        </w:rPr>
        <w:t>Merger</w:t>
      </w:r>
    </w:p>
    <w:p w14:paraId="09C37248" w14:textId="2A03F678" w:rsidR="0001545E" w:rsidRDefault="0001545E" w:rsidP="007D6A56">
      <w:pPr>
        <w:rPr>
          <w:rFonts w:cstheme="minorHAnsi"/>
          <w:u w:val="single"/>
        </w:rPr>
      </w:pPr>
    </w:p>
    <w:p w14:paraId="751329EA" w14:textId="6351011A" w:rsidR="0001545E" w:rsidRPr="0001545E" w:rsidRDefault="005454B5" w:rsidP="007D6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committee discussed the possible merger.</w:t>
      </w:r>
    </w:p>
    <w:p w14:paraId="26A18787" w14:textId="1DD90AC1" w:rsidR="007D6A56" w:rsidRPr="0001545E" w:rsidRDefault="007D6A56" w:rsidP="007D6A56">
      <w:pPr>
        <w:rPr>
          <w:rFonts w:cstheme="minorHAnsi"/>
          <w:u w:val="single"/>
        </w:rPr>
      </w:pPr>
    </w:p>
    <w:p w14:paraId="2A7E573F" w14:textId="7B3BEB6B" w:rsidR="007D6A56" w:rsidRDefault="007D6A56" w:rsidP="007D6A56">
      <w:pPr>
        <w:rPr>
          <w:rFonts w:cstheme="minorHAnsi"/>
          <w:u w:val="single"/>
        </w:rPr>
      </w:pPr>
      <w:r w:rsidRPr="0001545E">
        <w:rPr>
          <w:rFonts w:cstheme="minorHAnsi"/>
          <w:u w:val="single"/>
        </w:rPr>
        <w:t xml:space="preserve">Phil Hunt – </w:t>
      </w:r>
      <w:r w:rsidR="0001545E">
        <w:rPr>
          <w:rFonts w:cstheme="minorHAnsi"/>
          <w:u w:val="single"/>
        </w:rPr>
        <w:t>P</w:t>
      </w:r>
      <w:r w:rsidRPr="0001545E">
        <w:rPr>
          <w:rFonts w:cstheme="minorHAnsi"/>
          <w:u w:val="single"/>
        </w:rPr>
        <w:t xml:space="preserve">arliament </w:t>
      </w:r>
      <w:proofErr w:type="gramStart"/>
      <w:r w:rsidRPr="0001545E">
        <w:rPr>
          <w:rFonts w:cstheme="minorHAnsi"/>
          <w:u w:val="single"/>
        </w:rPr>
        <w:t>visit</w:t>
      </w:r>
      <w:proofErr w:type="gramEnd"/>
      <w:r w:rsidRPr="0001545E">
        <w:rPr>
          <w:rFonts w:cstheme="minorHAnsi"/>
          <w:u w:val="single"/>
        </w:rPr>
        <w:t xml:space="preserve"> update</w:t>
      </w:r>
    </w:p>
    <w:p w14:paraId="44C359FD" w14:textId="15600AF7" w:rsidR="0001545E" w:rsidRDefault="0001545E" w:rsidP="007D6A56">
      <w:pPr>
        <w:rPr>
          <w:rFonts w:cstheme="minorHAnsi"/>
          <w:u w:val="single"/>
        </w:rPr>
      </w:pPr>
    </w:p>
    <w:p w14:paraId="20916738" w14:textId="06F3DECC" w:rsidR="0001545E" w:rsidRPr="0001545E" w:rsidRDefault="002C7FA7" w:rsidP="007D6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PH attended parliament </w:t>
      </w:r>
      <w:r w:rsidR="001B7473">
        <w:rPr>
          <w:rFonts w:cstheme="minorHAnsi"/>
          <w:sz w:val="22"/>
          <w:szCs w:val="22"/>
        </w:rPr>
        <w:t xml:space="preserve">and gave the MP a copy of the letter he had sent previously about his concerns for pharmacy. He shared the reply with the committee. </w:t>
      </w:r>
    </w:p>
    <w:p w14:paraId="137D19C3" w14:textId="41520CA1" w:rsidR="007D6A56" w:rsidRPr="0001545E" w:rsidRDefault="007D6A56" w:rsidP="007D6A56">
      <w:pPr>
        <w:rPr>
          <w:rFonts w:cstheme="minorHAnsi"/>
          <w:u w:val="single"/>
        </w:rPr>
      </w:pPr>
    </w:p>
    <w:p w14:paraId="03BB5E93" w14:textId="05319FBF" w:rsidR="007D6A56" w:rsidRDefault="007D6A56" w:rsidP="007D6A56">
      <w:pPr>
        <w:rPr>
          <w:rFonts w:cstheme="minorHAnsi"/>
          <w:u w:val="single"/>
        </w:rPr>
      </w:pPr>
      <w:r w:rsidRPr="0001545E">
        <w:rPr>
          <w:rFonts w:cstheme="minorHAnsi"/>
          <w:u w:val="single"/>
        </w:rPr>
        <w:t>Pharmacy First Update</w:t>
      </w:r>
    </w:p>
    <w:p w14:paraId="5BCA120A" w14:textId="7222F78D" w:rsidR="0001545E" w:rsidRDefault="0001545E" w:rsidP="007D6A56">
      <w:pPr>
        <w:rPr>
          <w:rFonts w:cstheme="minorHAnsi"/>
          <w:u w:val="single"/>
        </w:rPr>
      </w:pPr>
    </w:p>
    <w:p w14:paraId="427FC7F8" w14:textId="23E1EDAB" w:rsidR="0001545E" w:rsidRDefault="0045181D" w:rsidP="007D6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Avon are running at around 10,000 referrals per month. Any pharmacy’s that are below </w:t>
      </w:r>
      <w:r w:rsidR="00BC26AE">
        <w:rPr>
          <w:rFonts w:cstheme="minorHAnsi"/>
          <w:sz w:val="22"/>
          <w:szCs w:val="22"/>
        </w:rPr>
        <w:t>the gateway threshold</w:t>
      </w:r>
      <w:r>
        <w:rPr>
          <w:rFonts w:cstheme="minorHAnsi"/>
          <w:sz w:val="22"/>
          <w:szCs w:val="22"/>
        </w:rPr>
        <w:t xml:space="preserve"> </w:t>
      </w:r>
      <w:r w:rsidR="00BC26AE">
        <w:rPr>
          <w:rFonts w:cstheme="minorHAnsi"/>
          <w:sz w:val="22"/>
          <w:szCs w:val="22"/>
        </w:rPr>
        <w:t>each</w:t>
      </w:r>
      <w:r>
        <w:rPr>
          <w:rFonts w:cstheme="minorHAnsi"/>
          <w:sz w:val="22"/>
          <w:szCs w:val="22"/>
        </w:rPr>
        <w:t xml:space="preserve"> month will get highlighted and </w:t>
      </w:r>
      <w:proofErr w:type="gramStart"/>
      <w:r>
        <w:rPr>
          <w:rFonts w:cstheme="minorHAnsi"/>
          <w:sz w:val="22"/>
          <w:szCs w:val="22"/>
        </w:rPr>
        <w:t>offered assistance</w:t>
      </w:r>
      <w:proofErr w:type="gramEnd"/>
      <w:r>
        <w:rPr>
          <w:rFonts w:cstheme="minorHAnsi"/>
          <w:sz w:val="22"/>
          <w:szCs w:val="22"/>
        </w:rPr>
        <w:t xml:space="preserve">. </w:t>
      </w:r>
    </w:p>
    <w:p w14:paraId="7939A884" w14:textId="77777777" w:rsidR="0045181D" w:rsidRDefault="0045181D" w:rsidP="007D6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Discussion around running a best practice event to assist contractors before moving forwards.</w:t>
      </w:r>
    </w:p>
    <w:p w14:paraId="0B29F501" w14:textId="738E9A0D" w:rsidR="0045181D" w:rsidRDefault="0045181D" w:rsidP="007D6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RB is looking for myth busting documents to help with the event. </w:t>
      </w:r>
    </w:p>
    <w:p w14:paraId="02395BF2" w14:textId="6D8913A6" w:rsidR="007D6A56" w:rsidRPr="0001545E" w:rsidRDefault="007D6A56" w:rsidP="007D6A56">
      <w:pPr>
        <w:rPr>
          <w:rFonts w:cstheme="minorHAnsi"/>
          <w:u w:val="single"/>
        </w:rPr>
      </w:pPr>
    </w:p>
    <w:p w14:paraId="24CB431C" w14:textId="458A10FB" w:rsidR="0001545E" w:rsidRDefault="007D6A56" w:rsidP="007D6A56">
      <w:pPr>
        <w:spacing w:before="40"/>
        <w:rPr>
          <w:rFonts w:cstheme="minorHAnsi"/>
          <w:u w:val="single"/>
        </w:rPr>
      </w:pPr>
      <w:r w:rsidRPr="0001545E">
        <w:rPr>
          <w:rFonts w:cstheme="minorHAnsi"/>
          <w:u w:val="single"/>
        </w:rPr>
        <w:t xml:space="preserve">Chief Officer’s Update  </w:t>
      </w:r>
    </w:p>
    <w:p w14:paraId="5CBA3616" w14:textId="77777777" w:rsidR="00B552E8" w:rsidRDefault="00B552E8" w:rsidP="007D6A56">
      <w:pPr>
        <w:spacing w:before="40"/>
        <w:rPr>
          <w:rFonts w:cstheme="minorHAnsi"/>
          <w:u w:val="single"/>
        </w:rPr>
      </w:pPr>
    </w:p>
    <w:p w14:paraId="12467C16" w14:textId="3A4F35CA" w:rsidR="00315EAA" w:rsidRPr="00315EAA" w:rsidRDefault="007D6A56" w:rsidP="00315EAA">
      <w:pPr>
        <w:pStyle w:val="ListParagraph"/>
        <w:numPr>
          <w:ilvl w:val="0"/>
          <w:numId w:val="5"/>
        </w:numPr>
        <w:spacing w:before="40"/>
        <w:rPr>
          <w:rFonts w:cstheme="minorHAnsi"/>
        </w:rPr>
      </w:pPr>
      <w:r w:rsidRPr="0001545E">
        <w:rPr>
          <w:rFonts w:cstheme="minorHAnsi"/>
        </w:rPr>
        <w:t>IP Pathfinder</w:t>
      </w:r>
      <w:r w:rsidR="00315EAA">
        <w:rPr>
          <w:rFonts w:cstheme="minorHAnsi"/>
        </w:rPr>
        <w:t xml:space="preserve"> - </w:t>
      </w:r>
      <w:r w:rsidR="00315EAA" w:rsidRPr="00315EAA">
        <w:rPr>
          <w:rFonts w:eastAsia="Times New Roman" w:cstheme="minorHAnsi"/>
          <w:color w:val="000000"/>
        </w:rPr>
        <w:t>It is hoped to have the pharmacies set up before the summer break and it is likely that they will be given access to the GP systems to deliver the pilot.</w:t>
      </w:r>
    </w:p>
    <w:p w14:paraId="5414E3FF" w14:textId="77777777" w:rsidR="0045181D" w:rsidRPr="0045181D" w:rsidRDefault="0045181D" w:rsidP="0045181D">
      <w:pPr>
        <w:spacing w:before="40"/>
        <w:rPr>
          <w:rFonts w:cstheme="minorHAnsi"/>
        </w:rPr>
      </w:pPr>
    </w:p>
    <w:p w14:paraId="0D9F5B47" w14:textId="2644849F" w:rsidR="007D6A56" w:rsidRPr="00315EAA" w:rsidRDefault="007D6A56" w:rsidP="00315EAA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 w:rsidRPr="00315EAA">
        <w:rPr>
          <w:rFonts w:cstheme="minorHAnsi"/>
        </w:rPr>
        <w:t>Cardiovascular PGD</w:t>
      </w:r>
      <w:r w:rsidR="00315EAA" w:rsidRPr="00315EAA">
        <w:rPr>
          <w:rFonts w:cstheme="minorHAnsi"/>
        </w:rPr>
        <w:t xml:space="preserve"> - </w:t>
      </w:r>
      <w:r w:rsidR="00315EAA" w:rsidRPr="00315EAA">
        <w:rPr>
          <w:rFonts w:eastAsia="Times New Roman" w:cstheme="minorHAnsi"/>
          <w:color w:val="000000"/>
        </w:rPr>
        <w:t>Work is continuing with BNSSG ICB in relation to the development of a service to support patients being newly initiated on anti-hypertensive medication</w:t>
      </w:r>
    </w:p>
    <w:p w14:paraId="0F27320C" w14:textId="77777777" w:rsidR="0045181D" w:rsidRPr="0045181D" w:rsidRDefault="0045181D" w:rsidP="0045181D">
      <w:pPr>
        <w:spacing w:before="40"/>
        <w:rPr>
          <w:rFonts w:cstheme="minorHAnsi"/>
        </w:rPr>
      </w:pPr>
    </w:p>
    <w:p w14:paraId="3EC3C51D" w14:textId="4FC4B39E" w:rsidR="007D6A56" w:rsidRPr="0001545E" w:rsidRDefault="007D6A56" w:rsidP="0001545E">
      <w:pPr>
        <w:pStyle w:val="ListParagraph"/>
        <w:numPr>
          <w:ilvl w:val="0"/>
          <w:numId w:val="5"/>
        </w:numPr>
        <w:rPr>
          <w:rFonts w:cstheme="minorHAnsi"/>
        </w:rPr>
      </w:pPr>
      <w:r w:rsidRPr="0001545E">
        <w:rPr>
          <w:rFonts w:cstheme="minorHAnsi"/>
        </w:rPr>
        <w:t xml:space="preserve">Otitis Externa </w:t>
      </w:r>
      <w:r w:rsidR="00BC26AE">
        <w:rPr>
          <w:rFonts w:cstheme="minorHAnsi"/>
        </w:rPr>
        <w:t xml:space="preserve">(locally commissioned by BNSSG ICB) </w:t>
      </w:r>
      <w:r w:rsidR="00315EAA">
        <w:rPr>
          <w:rFonts w:cstheme="minorHAnsi"/>
        </w:rPr>
        <w:t xml:space="preserve">- this is being </w:t>
      </w:r>
      <w:r w:rsidRPr="0001545E">
        <w:rPr>
          <w:rFonts w:cstheme="minorHAnsi"/>
        </w:rPr>
        <w:t>roll</w:t>
      </w:r>
      <w:r w:rsidR="00315EAA">
        <w:rPr>
          <w:rFonts w:cstheme="minorHAnsi"/>
        </w:rPr>
        <w:t>ed</w:t>
      </w:r>
      <w:r w:rsidRPr="0001545E">
        <w:rPr>
          <w:rFonts w:cstheme="minorHAnsi"/>
        </w:rPr>
        <w:t xml:space="preserve"> out</w:t>
      </w:r>
      <w:r w:rsidR="00315EAA">
        <w:rPr>
          <w:rFonts w:cstheme="minorHAnsi"/>
        </w:rPr>
        <w:t xml:space="preserve"> from June. </w:t>
      </w:r>
    </w:p>
    <w:p w14:paraId="742FF3DF" w14:textId="6DB7B8BE" w:rsidR="007D6A56" w:rsidRDefault="007D6A56" w:rsidP="007D6A56">
      <w:pPr>
        <w:rPr>
          <w:rFonts w:cstheme="minorHAnsi"/>
          <w:u w:val="single"/>
        </w:rPr>
      </w:pPr>
    </w:p>
    <w:p w14:paraId="3C374EAE" w14:textId="77777777" w:rsidR="0045181D" w:rsidRPr="0001545E" w:rsidRDefault="0045181D" w:rsidP="007D6A56">
      <w:pPr>
        <w:rPr>
          <w:rFonts w:cstheme="minorHAnsi"/>
          <w:u w:val="single"/>
        </w:rPr>
      </w:pPr>
    </w:p>
    <w:p w14:paraId="4862C1DF" w14:textId="3B2756BA" w:rsidR="007D6A56" w:rsidRDefault="007D6A56" w:rsidP="007D6A56">
      <w:pPr>
        <w:rPr>
          <w:rFonts w:cstheme="minorHAnsi"/>
          <w:u w:val="single"/>
        </w:rPr>
      </w:pPr>
      <w:r w:rsidRPr="0001545E">
        <w:rPr>
          <w:rFonts w:cstheme="minorHAnsi"/>
          <w:u w:val="single"/>
        </w:rPr>
        <w:t>AOB</w:t>
      </w:r>
    </w:p>
    <w:p w14:paraId="6F36EB0B" w14:textId="28E3FE28" w:rsidR="0001545E" w:rsidRDefault="0001545E" w:rsidP="007D6A56">
      <w:pPr>
        <w:rPr>
          <w:rFonts w:cstheme="minorHAnsi"/>
          <w:u w:val="single"/>
        </w:rPr>
      </w:pPr>
    </w:p>
    <w:p w14:paraId="4D9A136E" w14:textId="216C9D26" w:rsidR="0001545E" w:rsidRPr="0001545E" w:rsidRDefault="00AB3B26" w:rsidP="007D6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None</w:t>
      </w:r>
    </w:p>
    <w:p w14:paraId="51C757B2" w14:textId="677C32BC" w:rsidR="00B06EAB" w:rsidRPr="0001545E" w:rsidRDefault="00B06EAB" w:rsidP="005473EE">
      <w:pPr>
        <w:rPr>
          <w:rFonts w:cstheme="minorHAnsi"/>
          <w:u w:val="single"/>
        </w:rPr>
      </w:pPr>
    </w:p>
    <w:p w14:paraId="22B345CB" w14:textId="52893B03" w:rsidR="00B06EAB" w:rsidRDefault="00B06EAB" w:rsidP="005473EE"/>
    <w:p w14:paraId="75A9B9C1" w14:textId="0B480EE3" w:rsidR="00B06EAB" w:rsidRDefault="00B06EAB" w:rsidP="005473EE"/>
    <w:p w14:paraId="666FD1FC" w14:textId="6AD7A13D" w:rsidR="00B06EAB" w:rsidRDefault="00B06EAB" w:rsidP="005473EE"/>
    <w:p w14:paraId="6D518231" w14:textId="6AFC7454" w:rsidR="00B06EAB" w:rsidRDefault="00B06EAB" w:rsidP="005473EE"/>
    <w:p w14:paraId="7207B552" w14:textId="2CC3FFE7" w:rsidR="00B06EAB" w:rsidRDefault="00B06EAB" w:rsidP="005473EE"/>
    <w:p w14:paraId="763D1728" w14:textId="20AE5C5C" w:rsidR="00B06EAB" w:rsidRDefault="00B06EAB" w:rsidP="005473EE"/>
    <w:p w14:paraId="5C19EE97" w14:textId="69E30765" w:rsidR="00B06EAB" w:rsidRDefault="00B06EAB" w:rsidP="005473EE"/>
    <w:p w14:paraId="459FA726" w14:textId="18DC4781" w:rsidR="00B06EAB" w:rsidRDefault="00B06EAB" w:rsidP="005473EE"/>
    <w:p w14:paraId="55AFEC84" w14:textId="591156D3" w:rsidR="00B06EAB" w:rsidRDefault="00B06EAB" w:rsidP="005473EE"/>
    <w:p w14:paraId="093CB273" w14:textId="7896986D" w:rsidR="00B06EAB" w:rsidRDefault="00B06EAB" w:rsidP="005473EE"/>
    <w:p w14:paraId="446285B5" w14:textId="12B05131" w:rsidR="00B06EAB" w:rsidRDefault="00B06EAB" w:rsidP="005473EE"/>
    <w:p w14:paraId="11276F83" w14:textId="30EDBC99" w:rsidR="00B06EAB" w:rsidRDefault="00B06EAB" w:rsidP="005473EE"/>
    <w:p w14:paraId="0A55E856" w14:textId="77777777" w:rsidR="00B06EAB" w:rsidRPr="005473EE" w:rsidRDefault="00B06EAB" w:rsidP="005473EE"/>
    <w:sectPr w:rsidR="00B06EAB" w:rsidRPr="005473EE" w:rsidSect="00422A3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1BE2" w14:textId="77777777" w:rsidR="00EE46CA" w:rsidRDefault="00EE46CA" w:rsidP="000009E6">
      <w:r>
        <w:separator/>
      </w:r>
    </w:p>
  </w:endnote>
  <w:endnote w:type="continuationSeparator" w:id="0">
    <w:p w14:paraId="6B41C8D8" w14:textId="77777777" w:rsidR="00EE46CA" w:rsidRDefault="00EE46CA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EB15" w14:textId="77777777" w:rsidR="002477A0" w:rsidRDefault="00A6040C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E934C" wp14:editId="005CB3F9">
              <wp:simplePos x="0" y="0"/>
              <wp:positionH relativeFrom="column">
                <wp:posOffset>4290695</wp:posOffset>
              </wp:positionH>
              <wp:positionV relativeFrom="paragraph">
                <wp:posOffset>-66040</wp:posOffset>
              </wp:positionV>
              <wp:extent cx="2792095" cy="629920"/>
              <wp:effectExtent l="0" t="0" r="0" b="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2095" cy="629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7831BF" w14:textId="7F70F666" w:rsidR="002477A0" w:rsidRPr="008307F3" w:rsidRDefault="00746A88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www</w:t>
                          </w:r>
                          <w:r w:rsidR="002477A0" w:rsidRPr="008307F3"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avonlpc.</w:t>
                          </w:r>
                          <w:r w:rsidR="002477A0" w:rsidRPr="008307F3"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E9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85pt;margin-top:-5.2pt;width:219.8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pldFgIAACwEAAAOAAAAZHJzL2Uyb0RvYy54bWysU02P2yAQvVfqf0DcGztpsttYcVbprlJV&#13;&#10;Wu2ulK32TDDEloChQGKnv74Ddj607anqBQ/M+A3z3mNx12lFDsL5BkxJx6OcEmE4VI3ZlfTH6/rT&#13;&#10;F0p8YKZiCowo6VF4erf8+GHR2kJMoAZVCUcQxPiitSWtQ7BFlnleC838CKwwmJTgNAu4dbuscqxF&#13;&#10;dK2ySZ7fZC24yjrgwns8feiTdJnwpRQ8PEvpRSCqpHi3kFaX1m1cs+WCFTvHbN3w4RrsH26hWWOw&#13;&#10;6RnqgQVG9q75A0o33IEHGUYcdAZSNlykGXCacf5umk3NrEizIDnenmny/w+WPx029sWR0H2FDgWM&#13;&#10;hLTWFx4P4zyddDp+8aYE80jh8Uyb6ALheDi5nU/y+YwSjrmbyRx3ESa7/G2dD98EaBKDkjqUJbHF&#13;&#10;Do8+9KWnktjMwLpRKkmjDGkR9PMsTz+cMwiuDPa43DVGodt2wwBbqI44l4Necm/5usHmj8yHF+ZQ&#13;&#10;YxwFfRuecZEKsAkMESU1uF9/O4/1SD1mKWnRMyX1P/fMCUrUd4OizMfTaTRZ2kxnt8gDcdeZ7XXG&#13;&#10;7PU9oC3H+EIsT2GsD+oUSgf6De29il0xxQzH3iUNp/A+9E7G58HFapWK0FaWhUezsTxCRzojta/d&#13;&#10;G3N24D+gck9wchcr3snQ1/ZCrPYBZJM0igT3rA68oyWTysPziZ6/3qeqyyNf/gYAAP//AwBQSwME&#13;&#10;FAAGAAgAAAAhADVA133lAAAAEAEAAA8AAABkcnMvZG93bnJldi54bWxMTz1vwjAQ3SvxH6xD6gZO&#13;&#10;UANWiINQKlSpagcoS7dLbJKosZ3GBtL++h4TXU53eu/eR7YZTccuevCtsxLieQRM28qp1tYSjh+7&#13;&#10;mQDmA1qFnbNawo/2sMknDxmmyl3tXl8OoWYkYn2KEpoQ+pRzXzXaoJ+7XlvCTm4wGOgcaq4GvJK4&#13;&#10;6fgiipbcYGvJocFeF42uvg5nI+G12L3jvlwY8dsVL2+nbf99/EykfJyOz2sa2zWwoMdw/4BbB8oP&#13;&#10;OQUr3dkqzzoJy1WyIqqEWRw9Absx4jihrZQghACeZ/x/kfwPAAD//wMAUEsBAi0AFAAGAAgAAAAh&#13;&#10;ALaDOJL+AAAA4QEAABMAAAAAAAAAAAAAAAAAAAAAAFtDb250ZW50X1R5cGVzXS54bWxQSwECLQAU&#13;&#10;AAYACAAAACEAOP0h/9YAAACUAQAACwAAAAAAAAAAAAAAAAAvAQAAX3JlbHMvLnJlbHNQSwECLQAU&#13;&#10;AAYACAAAACEABA6ZXRYCAAAsBAAADgAAAAAAAAAAAAAAAAAuAgAAZHJzL2Uyb0RvYy54bWxQSwEC&#13;&#10;LQAUAAYACAAAACEANUDXfeUAAAAQAQAADwAAAAAAAAAAAAAAAABwBAAAZHJzL2Rvd25yZXYueG1s&#13;&#10;UEsFBgAAAAAEAAQA8wAAAIIFAAAAAA==&#13;&#10;" filled="f" stroked="f" strokeweight=".5pt">
              <v:textbox>
                <w:txbxContent>
                  <w:p w14:paraId="0E7831BF" w14:textId="7F70F666" w:rsidR="002477A0" w:rsidRPr="008307F3" w:rsidRDefault="00746A88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www</w:t>
                    </w:r>
                    <w:r w:rsidR="002477A0" w:rsidRPr="008307F3"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avonlpc.</w:t>
                    </w:r>
                    <w:r w:rsidR="002477A0" w:rsidRPr="008307F3"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AB7618B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3825CDF7" w14:textId="0EF486C5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0C8E2D3D" wp14:editId="456A453E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B06EAB">
      <w:rPr>
        <w:rFonts w:ascii="DM Sans" w:hAnsi="DM Sans" w:cs="Arial"/>
        <w:color w:val="0072CE" w:themeColor="text1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143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1F27884D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54068F54" wp14:editId="1AB5626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4BE19" w14:textId="77777777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3B8C0D6A" wp14:editId="06EB5DC0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94C"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678B7131" w14:textId="11FE9909" w:rsidR="00687877" w:rsidRPr="00687877" w:rsidRDefault="00687877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6B82618E" w14:textId="77777777" w:rsidR="000009E6" w:rsidRPr="000C1796" w:rsidRDefault="00EE46CA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="004F794C"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F78F" w14:textId="77777777" w:rsidR="00EE46CA" w:rsidRDefault="00EE46CA" w:rsidP="000009E6">
      <w:r>
        <w:separator/>
      </w:r>
    </w:p>
  </w:footnote>
  <w:footnote w:type="continuationSeparator" w:id="0">
    <w:p w14:paraId="2763E297" w14:textId="77777777" w:rsidR="00EE46CA" w:rsidRDefault="00EE46CA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AC42" w14:textId="77777777" w:rsidR="00736A64" w:rsidRDefault="00587A9D">
    <w:pPr>
      <w:pStyle w:val="Header"/>
    </w:pPr>
    <w:r>
      <w:rPr>
        <w:noProof/>
      </w:rPr>
      <w:drawing>
        <wp:inline distT="0" distB="0" distL="0" distR="0" wp14:anchorId="18EF2B53" wp14:editId="2A5DD3CA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6C92AE8B" wp14:editId="523EF33F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F2"/>
    <w:multiLevelType w:val="hybridMultilevel"/>
    <w:tmpl w:val="33A238AC"/>
    <w:lvl w:ilvl="0" w:tplc="6F4E8664">
      <w:numFmt w:val="bullet"/>
      <w:lvlText w:val="-"/>
      <w:lvlJc w:val="left"/>
      <w:pPr>
        <w:ind w:left="29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1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81E22"/>
    <w:multiLevelType w:val="hybridMultilevel"/>
    <w:tmpl w:val="B442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364962">
    <w:abstractNumId w:val="4"/>
  </w:num>
  <w:num w:numId="2" w16cid:durableId="279530118">
    <w:abstractNumId w:val="1"/>
  </w:num>
  <w:num w:numId="3" w16cid:durableId="833298019">
    <w:abstractNumId w:val="2"/>
  </w:num>
  <w:num w:numId="4" w16cid:durableId="425619183">
    <w:abstractNumId w:val="0"/>
  </w:num>
  <w:num w:numId="5" w16cid:durableId="201845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13147"/>
    <w:rsid w:val="0001545E"/>
    <w:rsid w:val="0002042E"/>
    <w:rsid w:val="000209AA"/>
    <w:rsid w:val="0003256B"/>
    <w:rsid w:val="00065756"/>
    <w:rsid w:val="000C1796"/>
    <w:rsid w:val="000D0B17"/>
    <w:rsid w:val="000F0F80"/>
    <w:rsid w:val="00106EC3"/>
    <w:rsid w:val="00107097"/>
    <w:rsid w:val="00122066"/>
    <w:rsid w:val="00126538"/>
    <w:rsid w:val="001A2F34"/>
    <w:rsid w:val="001B7473"/>
    <w:rsid w:val="001C04B1"/>
    <w:rsid w:val="001C077C"/>
    <w:rsid w:val="00230434"/>
    <w:rsid w:val="002477A0"/>
    <w:rsid w:val="00253627"/>
    <w:rsid w:val="0026112B"/>
    <w:rsid w:val="002A7AEE"/>
    <w:rsid w:val="002C7FA7"/>
    <w:rsid w:val="002D2FBD"/>
    <w:rsid w:val="002D6D46"/>
    <w:rsid w:val="002E2173"/>
    <w:rsid w:val="00315EAA"/>
    <w:rsid w:val="00316415"/>
    <w:rsid w:val="003236DD"/>
    <w:rsid w:val="003B65CB"/>
    <w:rsid w:val="003C3C3B"/>
    <w:rsid w:val="00414E07"/>
    <w:rsid w:val="00422A3C"/>
    <w:rsid w:val="0045181D"/>
    <w:rsid w:val="004758C6"/>
    <w:rsid w:val="004F794C"/>
    <w:rsid w:val="005344A5"/>
    <w:rsid w:val="005454B5"/>
    <w:rsid w:val="005473EE"/>
    <w:rsid w:val="00560214"/>
    <w:rsid w:val="00571FCD"/>
    <w:rsid w:val="00587A9D"/>
    <w:rsid w:val="005B18B1"/>
    <w:rsid w:val="005C2683"/>
    <w:rsid w:val="005D1358"/>
    <w:rsid w:val="005D5DB2"/>
    <w:rsid w:val="005E2D40"/>
    <w:rsid w:val="005F0D87"/>
    <w:rsid w:val="00602004"/>
    <w:rsid w:val="00673013"/>
    <w:rsid w:val="00687877"/>
    <w:rsid w:val="00691249"/>
    <w:rsid w:val="006D5110"/>
    <w:rsid w:val="007010E6"/>
    <w:rsid w:val="00701A17"/>
    <w:rsid w:val="00720694"/>
    <w:rsid w:val="00736A64"/>
    <w:rsid w:val="00746A88"/>
    <w:rsid w:val="00791AEF"/>
    <w:rsid w:val="007A045A"/>
    <w:rsid w:val="007D6A56"/>
    <w:rsid w:val="00881A68"/>
    <w:rsid w:val="00975BC3"/>
    <w:rsid w:val="009A7F9B"/>
    <w:rsid w:val="009B02E3"/>
    <w:rsid w:val="00A6040C"/>
    <w:rsid w:val="00A97DE0"/>
    <w:rsid w:val="00AB3B26"/>
    <w:rsid w:val="00AB598B"/>
    <w:rsid w:val="00B06EAB"/>
    <w:rsid w:val="00B11E42"/>
    <w:rsid w:val="00B161D7"/>
    <w:rsid w:val="00B275ED"/>
    <w:rsid w:val="00B37A93"/>
    <w:rsid w:val="00B40ACC"/>
    <w:rsid w:val="00B552E8"/>
    <w:rsid w:val="00BB6E6D"/>
    <w:rsid w:val="00BC26AE"/>
    <w:rsid w:val="00BE5A44"/>
    <w:rsid w:val="00C92A8D"/>
    <w:rsid w:val="00D54D73"/>
    <w:rsid w:val="00DE6253"/>
    <w:rsid w:val="00E03D2E"/>
    <w:rsid w:val="00E10375"/>
    <w:rsid w:val="00E2576C"/>
    <w:rsid w:val="00E3473F"/>
    <w:rsid w:val="00EC2456"/>
    <w:rsid w:val="00ED1966"/>
    <w:rsid w:val="00EE46CA"/>
    <w:rsid w:val="00F170E9"/>
    <w:rsid w:val="00F20609"/>
    <w:rsid w:val="00F35D1B"/>
    <w:rsid w:val="00F416BC"/>
    <w:rsid w:val="00F430EF"/>
    <w:rsid w:val="00FB03C3"/>
    <w:rsid w:val="00FD2434"/>
    <w:rsid w:val="00FE23D3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A0DE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3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vonlpc/Library/Group%20Containers/UBF8T346G9.Office/User%20Content.localized/Templates.localized/CP%20Av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 Avon.dotx</Template>
  <TotalTime>206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2023-07-17T11:48:00Z</dcterms:created>
  <dcterms:modified xsi:type="dcterms:W3CDTF">2024-05-19T18:02:00Z</dcterms:modified>
</cp:coreProperties>
</file>