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C54C" w14:textId="77777777" w:rsidR="004A0BF3" w:rsidRDefault="004A0BF3" w:rsidP="00637269">
      <w:pPr>
        <w:pStyle w:val="Heading1"/>
        <w:spacing w:line="240" w:lineRule="auto"/>
        <w:rPr>
          <w:rFonts w:eastAsiaTheme="minorEastAsia"/>
        </w:rPr>
      </w:pPr>
    </w:p>
    <w:p w14:paraId="5F4FEB60" w14:textId="1DE7CF34" w:rsidR="00637269" w:rsidRDefault="008552F2" w:rsidP="00637269">
      <w:pPr>
        <w:pStyle w:val="Heading1"/>
        <w:spacing w:line="240" w:lineRule="auto"/>
        <w:rPr>
          <w:rFonts w:eastAsiaTheme="minorEastAsia"/>
        </w:rPr>
      </w:pPr>
      <w:r>
        <w:rPr>
          <w:rFonts w:eastAsiaTheme="minorEastAsia"/>
        </w:rPr>
        <w:t xml:space="preserve"> </w:t>
      </w:r>
      <w:r w:rsidR="005C4AD0">
        <w:rPr>
          <w:rFonts w:eastAsiaTheme="minorEastAsia"/>
        </w:rPr>
        <w:t>Community Pharmacy PGD Service</w:t>
      </w:r>
    </w:p>
    <w:p w14:paraId="1805B4BE" w14:textId="77777777" w:rsidR="00637269" w:rsidRDefault="00637269" w:rsidP="00637269">
      <w:pPr>
        <w:widowControl w:val="0"/>
        <w:spacing w:after="0"/>
        <w:jc w:val="center"/>
        <w:rPr>
          <w:rFonts w:ascii="Arial" w:hAnsi="Arial" w:cs="Arial"/>
          <w:b/>
          <w:bCs/>
          <w:sz w:val="20"/>
        </w:rPr>
      </w:pPr>
    </w:p>
    <w:p w14:paraId="2DF3A1F5" w14:textId="77777777" w:rsidR="00637269" w:rsidRDefault="00637269" w:rsidP="00BD70C0">
      <w:pPr>
        <w:pStyle w:val="ListParagraph"/>
        <w:ind w:left="0"/>
        <w:contextualSpacing/>
        <w:jc w:val="center"/>
        <w:outlineLvl w:val="1"/>
        <w:rPr>
          <w:rFonts w:ascii="Arial" w:hAnsi="Arial" w:cs="Arial"/>
          <w:b/>
        </w:rPr>
      </w:pPr>
      <w:bookmarkStart w:id="0" w:name="_Toc511983481"/>
      <w:bookmarkStart w:id="1" w:name="_Toc343591382"/>
      <w:r>
        <w:rPr>
          <w:rFonts w:ascii="Arial" w:hAnsi="Arial" w:cs="Arial"/>
          <w:b/>
        </w:rPr>
        <w:t>Service Specification</w:t>
      </w:r>
      <w:bookmarkEnd w:id="0"/>
      <w:bookmarkEnd w:id="1"/>
    </w:p>
    <w:p w14:paraId="76991209" w14:textId="77777777" w:rsidR="00637269" w:rsidRDefault="00637269" w:rsidP="00637269">
      <w:pPr>
        <w:spacing w:after="0"/>
        <w:jc w:val="both"/>
        <w:rPr>
          <w:rFonts w:ascii="Arial" w:hAnsi="Arial" w:cs="Arial"/>
          <w:sz w:val="20"/>
        </w:rPr>
      </w:pP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159"/>
        <w:gridCol w:w="5792"/>
      </w:tblGrid>
      <w:tr w:rsidR="00637269" w14:paraId="670B7998" w14:textId="77777777" w:rsidTr="00722F9A">
        <w:trPr>
          <w:trHeight w:val="414"/>
        </w:trPr>
        <w:tc>
          <w:tcPr>
            <w:tcW w:w="3159" w:type="dxa"/>
            <w:tcBorders>
              <w:top w:val="single" w:sz="4" w:space="0" w:color="auto"/>
              <w:left w:val="single" w:sz="4" w:space="0" w:color="auto"/>
              <w:bottom w:val="single" w:sz="4" w:space="0" w:color="auto"/>
              <w:right w:val="single" w:sz="4" w:space="0" w:color="auto"/>
            </w:tcBorders>
            <w:hideMark/>
          </w:tcPr>
          <w:p w14:paraId="3E96747D" w14:textId="77777777" w:rsidR="00637269" w:rsidRDefault="00637269">
            <w:pPr>
              <w:spacing w:after="0" w:line="360" w:lineRule="auto"/>
              <w:rPr>
                <w:rFonts w:ascii="Arial" w:hAnsi="Arial" w:cs="Arial"/>
                <w:b/>
              </w:rPr>
            </w:pPr>
            <w:r>
              <w:rPr>
                <w:rFonts w:ascii="Arial" w:hAnsi="Arial" w:cs="Arial"/>
                <w:b/>
              </w:rPr>
              <w:t>Service</w:t>
            </w:r>
          </w:p>
        </w:tc>
        <w:tc>
          <w:tcPr>
            <w:tcW w:w="5792" w:type="dxa"/>
            <w:tcBorders>
              <w:top w:val="single" w:sz="4" w:space="0" w:color="auto"/>
              <w:left w:val="single" w:sz="4" w:space="0" w:color="auto"/>
              <w:bottom w:val="single" w:sz="4" w:space="0" w:color="auto"/>
              <w:right w:val="single" w:sz="4" w:space="0" w:color="auto"/>
            </w:tcBorders>
          </w:tcPr>
          <w:p w14:paraId="2CFFA937" w14:textId="46B121A6" w:rsidR="00637269" w:rsidRPr="00771EB3" w:rsidRDefault="00F5050C" w:rsidP="00BD70C0">
            <w:pPr>
              <w:spacing w:after="0"/>
              <w:rPr>
                <w:rFonts w:ascii="Arial" w:hAnsi="Arial" w:cs="Arial"/>
                <w:sz w:val="20"/>
              </w:rPr>
            </w:pPr>
            <w:r>
              <w:rPr>
                <w:rFonts w:ascii="Arial" w:hAnsi="Arial" w:cs="Arial"/>
                <w:sz w:val="20"/>
              </w:rPr>
              <w:t>Community Pharmacy</w:t>
            </w:r>
            <w:r w:rsidR="00A4708D">
              <w:rPr>
                <w:rFonts w:ascii="Arial" w:hAnsi="Arial" w:cs="Arial"/>
                <w:sz w:val="20"/>
              </w:rPr>
              <w:t xml:space="preserve"> </w:t>
            </w:r>
            <w:r w:rsidR="00BD70C0">
              <w:rPr>
                <w:rFonts w:ascii="Arial" w:hAnsi="Arial" w:cs="Arial"/>
                <w:sz w:val="20"/>
              </w:rPr>
              <w:t>P</w:t>
            </w:r>
            <w:r w:rsidR="003F1661">
              <w:rPr>
                <w:rFonts w:ascii="Arial" w:hAnsi="Arial" w:cs="Arial"/>
                <w:sz w:val="20"/>
              </w:rPr>
              <w:t>atient Group Directions</w:t>
            </w:r>
          </w:p>
        </w:tc>
      </w:tr>
      <w:tr w:rsidR="00637269" w14:paraId="0443DBF4" w14:textId="77777777" w:rsidTr="00722F9A">
        <w:trPr>
          <w:trHeight w:val="414"/>
        </w:trPr>
        <w:tc>
          <w:tcPr>
            <w:tcW w:w="3159" w:type="dxa"/>
            <w:tcBorders>
              <w:top w:val="single" w:sz="4" w:space="0" w:color="auto"/>
              <w:left w:val="single" w:sz="4" w:space="0" w:color="auto"/>
              <w:bottom w:val="single" w:sz="4" w:space="0" w:color="auto"/>
              <w:right w:val="single" w:sz="4" w:space="0" w:color="auto"/>
            </w:tcBorders>
            <w:hideMark/>
          </w:tcPr>
          <w:p w14:paraId="3E44BB86" w14:textId="77777777" w:rsidR="00637269" w:rsidRDefault="00637269">
            <w:pPr>
              <w:spacing w:after="0" w:line="360" w:lineRule="auto"/>
              <w:rPr>
                <w:rFonts w:ascii="Arial" w:hAnsi="Arial" w:cs="Arial"/>
                <w:b/>
              </w:rPr>
            </w:pPr>
            <w:r>
              <w:rPr>
                <w:rFonts w:ascii="Arial" w:hAnsi="Arial" w:cs="Arial"/>
                <w:b/>
              </w:rPr>
              <w:t>Commissioner Lead</w:t>
            </w:r>
          </w:p>
        </w:tc>
        <w:tc>
          <w:tcPr>
            <w:tcW w:w="5792" w:type="dxa"/>
            <w:tcBorders>
              <w:top w:val="single" w:sz="4" w:space="0" w:color="auto"/>
              <w:left w:val="single" w:sz="4" w:space="0" w:color="auto"/>
              <w:bottom w:val="single" w:sz="4" w:space="0" w:color="auto"/>
              <w:right w:val="single" w:sz="4" w:space="0" w:color="auto"/>
            </w:tcBorders>
          </w:tcPr>
          <w:p w14:paraId="323A5E63" w14:textId="2BB24B11" w:rsidR="00E50C73" w:rsidRPr="00771EB3" w:rsidRDefault="00EF0992">
            <w:pPr>
              <w:spacing w:after="0"/>
              <w:rPr>
                <w:rFonts w:ascii="Arial" w:hAnsi="Arial" w:cs="Arial"/>
                <w:sz w:val="20"/>
              </w:rPr>
            </w:pPr>
            <w:r>
              <w:rPr>
                <w:rFonts w:ascii="Arial" w:hAnsi="Arial" w:cs="Arial"/>
                <w:sz w:val="20"/>
              </w:rPr>
              <w:t xml:space="preserve">Helen Wilkinson </w:t>
            </w:r>
            <w:r w:rsidR="001B1E68">
              <w:rPr>
                <w:rFonts w:ascii="Arial" w:hAnsi="Arial" w:cs="Arial"/>
                <w:sz w:val="20"/>
              </w:rPr>
              <w:t xml:space="preserve"> </w:t>
            </w:r>
          </w:p>
        </w:tc>
      </w:tr>
      <w:tr w:rsidR="00637269" w14:paraId="59C50940" w14:textId="77777777" w:rsidTr="00722F9A">
        <w:trPr>
          <w:trHeight w:val="402"/>
        </w:trPr>
        <w:tc>
          <w:tcPr>
            <w:tcW w:w="3159" w:type="dxa"/>
            <w:tcBorders>
              <w:top w:val="single" w:sz="4" w:space="0" w:color="auto"/>
              <w:left w:val="single" w:sz="4" w:space="0" w:color="auto"/>
              <w:bottom w:val="single" w:sz="4" w:space="0" w:color="auto"/>
              <w:right w:val="single" w:sz="4" w:space="0" w:color="auto"/>
            </w:tcBorders>
            <w:hideMark/>
          </w:tcPr>
          <w:p w14:paraId="3A59C6E7" w14:textId="77777777" w:rsidR="00637269" w:rsidRDefault="00637269">
            <w:pPr>
              <w:spacing w:after="0" w:line="360" w:lineRule="auto"/>
              <w:rPr>
                <w:rFonts w:ascii="Arial" w:hAnsi="Arial" w:cs="Arial"/>
                <w:b/>
              </w:rPr>
            </w:pPr>
            <w:r>
              <w:rPr>
                <w:rFonts w:ascii="Arial" w:hAnsi="Arial" w:cs="Arial"/>
                <w:b/>
              </w:rPr>
              <w:t>Provider Lead</w:t>
            </w:r>
          </w:p>
        </w:tc>
        <w:tc>
          <w:tcPr>
            <w:tcW w:w="5792" w:type="dxa"/>
            <w:tcBorders>
              <w:top w:val="single" w:sz="4" w:space="0" w:color="auto"/>
              <w:left w:val="single" w:sz="4" w:space="0" w:color="auto"/>
              <w:bottom w:val="single" w:sz="4" w:space="0" w:color="auto"/>
              <w:right w:val="single" w:sz="4" w:space="0" w:color="auto"/>
            </w:tcBorders>
          </w:tcPr>
          <w:p w14:paraId="21306CA7" w14:textId="71AB1BE2" w:rsidR="00637269" w:rsidRPr="00771EB3" w:rsidRDefault="00CB42B6">
            <w:pPr>
              <w:spacing w:after="0"/>
              <w:rPr>
                <w:rFonts w:ascii="Arial" w:hAnsi="Arial" w:cs="Arial"/>
                <w:sz w:val="20"/>
              </w:rPr>
            </w:pPr>
            <w:r w:rsidRPr="00CB42B6">
              <w:rPr>
                <w:rFonts w:ascii="Arial" w:hAnsi="Arial" w:cs="Arial"/>
                <w:sz w:val="20"/>
              </w:rPr>
              <w:t xml:space="preserve">Helen Wilkinson, ICS Community Pharmacy Clinical Lead, Bath and </w:t>
            </w:r>
            <w:proofErr w:type="gramStart"/>
            <w:r w:rsidRPr="00CB42B6">
              <w:rPr>
                <w:rFonts w:ascii="Arial" w:hAnsi="Arial" w:cs="Arial"/>
                <w:sz w:val="20"/>
              </w:rPr>
              <w:t>North East</w:t>
            </w:r>
            <w:proofErr w:type="gramEnd"/>
            <w:r w:rsidRPr="00CB42B6">
              <w:rPr>
                <w:rFonts w:ascii="Arial" w:hAnsi="Arial" w:cs="Arial"/>
                <w:sz w:val="20"/>
              </w:rPr>
              <w:t xml:space="preserve"> Somerset, Swindon and Wiltshire ICB (BSW ICB)</w:t>
            </w:r>
          </w:p>
        </w:tc>
      </w:tr>
      <w:tr w:rsidR="00637269" w14:paraId="5CD5D607" w14:textId="77777777" w:rsidTr="00722F9A">
        <w:trPr>
          <w:trHeight w:val="414"/>
        </w:trPr>
        <w:tc>
          <w:tcPr>
            <w:tcW w:w="3159" w:type="dxa"/>
            <w:tcBorders>
              <w:top w:val="single" w:sz="4" w:space="0" w:color="auto"/>
              <w:left w:val="single" w:sz="4" w:space="0" w:color="auto"/>
              <w:bottom w:val="single" w:sz="4" w:space="0" w:color="auto"/>
              <w:right w:val="single" w:sz="4" w:space="0" w:color="auto"/>
            </w:tcBorders>
            <w:hideMark/>
          </w:tcPr>
          <w:p w14:paraId="7700BA22" w14:textId="77777777" w:rsidR="00637269" w:rsidRDefault="00637269">
            <w:pPr>
              <w:spacing w:after="0" w:line="360" w:lineRule="auto"/>
              <w:rPr>
                <w:rFonts w:ascii="Arial" w:hAnsi="Arial" w:cs="Arial"/>
                <w:b/>
              </w:rPr>
            </w:pPr>
            <w:r>
              <w:rPr>
                <w:rFonts w:ascii="Arial" w:hAnsi="Arial" w:cs="Arial"/>
                <w:b/>
              </w:rPr>
              <w:t>Period</w:t>
            </w:r>
          </w:p>
        </w:tc>
        <w:tc>
          <w:tcPr>
            <w:tcW w:w="5792" w:type="dxa"/>
            <w:tcBorders>
              <w:top w:val="single" w:sz="4" w:space="0" w:color="auto"/>
              <w:left w:val="single" w:sz="4" w:space="0" w:color="auto"/>
              <w:bottom w:val="single" w:sz="4" w:space="0" w:color="auto"/>
              <w:right w:val="single" w:sz="4" w:space="0" w:color="auto"/>
            </w:tcBorders>
          </w:tcPr>
          <w:p w14:paraId="71F19B0A" w14:textId="01DAE408" w:rsidR="00637269" w:rsidRPr="00771EB3" w:rsidRDefault="003F1661">
            <w:pPr>
              <w:spacing w:after="0"/>
              <w:rPr>
                <w:rFonts w:ascii="Arial" w:hAnsi="Arial" w:cs="Arial"/>
                <w:sz w:val="20"/>
              </w:rPr>
            </w:pPr>
            <w:r>
              <w:rPr>
                <w:rFonts w:ascii="Arial" w:hAnsi="Arial" w:cs="Arial"/>
                <w:sz w:val="20"/>
              </w:rPr>
              <w:t>1 April 2024 – 31 March 2025</w:t>
            </w:r>
          </w:p>
        </w:tc>
      </w:tr>
      <w:tr w:rsidR="00637269" w14:paraId="5D37F322" w14:textId="77777777" w:rsidTr="00722F9A">
        <w:trPr>
          <w:trHeight w:val="414"/>
        </w:trPr>
        <w:tc>
          <w:tcPr>
            <w:tcW w:w="3159" w:type="dxa"/>
            <w:tcBorders>
              <w:top w:val="single" w:sz="4" w:space="0" w:color="auto"/>
              <w:left w:val="single" w:sz="4" w:space="0" w:color="auto"/>
              <w:bottom w:val="single" w:sz="4" w:space="0" w:color="auto"/>
              <w:right w:val="single" w:sz="4" w:space="0" w:color="auto"/>
            </w:tcBorders>
            <w:hideMark/>
          </w:tcPr>
          <w:p w14:paraId="1280AD14" w14:textId="77777777" w:rsidR="00637269" w:rsidRDefault="00637269">
            <w:pPr>
              <w:spacing w:after="0" w:line="360" w:lineRule="auto"/>
              <w:rPr>
                <w:rFonts w:ascii="Arial" w:hAnsi="Arial" w:cs="Arial"/>
                <w:b/>
              </w:rPr>
            </w:pPr>
            <w:r>
              <w:rPr>
                <w:rFonts w:ascii="Arial" w:hAnsi="Arial" w:cs="Arial"/>
                <w:b/>
              </w:rPr>
              <w:t>Date of Review</w:t>
            </w:r>
          </w:p>
        </w:tc>
        <w:tc>
          <w:tcPr>
            <w:tcW w:w="5792" w:type="dxa"/>
            <w:tcBorders>
              <w:top w:val="single" w:sz="4" w:space="0" w:color="auto"/>
              <w:left w:val="single" w:sz="4" w:space="0" w:color="auto"/>
              <w:bottom w:val="single" w:sz="4" w:space="0" w:color="auto"/>
              <w:right w:val="single" w:sz="4" w:space="0" w:color="auto"/>
            </w:tcBorders>
          </w:tcPr>
          <w:p w14:paraId="6D7C8645" w14:textId="456AC7DE" w:rsidR="00637269" w:rsidRDefault="00637269">
            <w:pPr>
              <w:spacing w:after="0"/>
              <w:rPr>
                <w:rFonts w:ascii="Arial" w:hAnsi="Arial" w:cs="Arial"/>
                <w:sz w:val="20"/>
              </w:rPr>
            </w:pPr>
          </w:p>
        </w:tc>
      </w:tr>
    </w:tbl>
    <w:p w14:paraId="4677591C" w14:textId="77777777" w:rsidR="00637269" w:rsidRDefault="00637269" w:rsidP="00637269">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908"/>
      </w:tblGrid>
      <w:tr w:rsidR="00637269" w14:paraId="5064D6C5"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6BA26761" w14:textId="77777777" w:rsidR="00637269" w:rsidRDefault="00637269">
            <w:pPr>
              <w:spacing w:after="0" w:line="276" w:lineRule="auto"/>
              <w:rPr>
                <w:rFonts w:ascii="Arial" w:hAnsi="Arial" w:cs="Arial"/>
                <w:b/>
              </w:rPr>
            </w:pPr>
            <w:r>
              <w:rPr>
                <w:rFonts w:ascii="Arial" w:hAnsi="Arial" w:cs="Arial"/>
                <w:b/>
              </w:rPr>
              <w:t>1.</w:t>
            </w:r>
            <w:r>
              <w:rPr>
                <w:rFonts w:ascii="Arial" w:hAnsi="Arial" w:cs="Arial"/>
                <w:b/>
              </w:rPr>
              <w:tab/>
              <w:t>Population Needs</w:t>
            </w:r>
          </w:p>
        </w:tc>
      </w:tr>
      <w:tr w:rsidR="00637269" w14:paraId="0BA94B93" w14:textId="77777777" w:rsidTr="000E51EF">
        <w:tc>
          <w:tcPr>
            <w:tcW w:w="8908" w:type="dxa"/>
            <w:tcBorders>
              <w:top w:val="single" w:sz="4" w:space="0" w:color="auto"/>
              <w:left w:val="single" w:sz="4" w:space="0" w:color="auto"/>
              <w:bottom w:val="single" w:sz="4" w:space="0" w:color="auto"/>
              <w:right w:val="single" w:sz="4" w:space="0" w:color="auto"/>
            </w:tcBorders>
          </w:tcPr>
          <w:p w14:paraId="47901803" w14:textId="77777777" w:rsidR="00637269" w:rsidRDefault="00637269">
            <w:pPr>
              <w:spacing w:after="0"/>
              <w:ind w:left="360"/>
              <w:rPr>
                <w:rFonts w:ascii="Arial" w:hAnsi="Arial" w:cs="Arial"/>
                <w:sz w:val="20"/>
              </w:rPr>
            </w:pPr>
          </w:p>
          <w:p w14:paraId="7DF5F9C3" w14:textId="77777777" w:rsidR="00637269" w:rsidRDefault="00637269" w:rsidP="00983AAC">
            <w:pPr>
              <w:numPr>
                <w:ilvl w:val="1"/>
                <w:numId w:val="2"/>
              </w:numPr>
              <w:spacing w:after="0"/>
              <w:rPr>
                <w:rFonts w:ascii="Arial" w:hAnsi="Arial" w:cs="Arial"/>
                <w:b/>
                <w:sz w:val="20"/>
              </w:rPr>
            </w:pPr>
            <w:r>
              <w:rPr>
                <w:rFonts w:ascii="Arial" w:hAnsi="Arial" w:cs="Arial"/>
                <w:b/>
                <w:sz w:val="20"/>
              </w:rPr>
              <w:tab/>
              <w:t>National/local context and evidence base</w:t>
            </w:r>
          </w:p>
          <w:p w14:paraId="607BA367" w14:textId="77777777" w:rsidR="00771EB3" w:rsidRPr="00771EB3" w:rsidRDefault="00771EB3" w:rsidP="00771EB3">
            <w:pPr>
              <w:spacing w:after="0"/>
              <w:rPr>
                <w:rFonts w:ascii="Arial" w:hAnsi="Arial" w:cs="Arial"/>
                <w:b/>
                <w:sz w:val="22"/>
                <w:szCs w:val="22"/>
              </w:rPr>
            </w:pPr>
          </w:p>
          <w:p w14:paraId="0238801C" w14:textId="77777777" w:rsidR="00A4708D" w:rsidRPr="00A4708D" w:rsidRDefault="00A4708D" w:rsidP="00A4708D">
            <w:pPr>
              <w:pStyle w:val="NoSpacing"/>
              <w:ind w:left="720"/>
              <w:rPr>
                <w:rFonts w:ascii="Arial" w:hAnsi="Arial" w:cs="Arial"/>
                <w:sz w:val="20"/>
                <w:szCs w:val="22"/>
                <w:lang w:eastAsia="en-GB"/>
              </w:rPr>
            </w:pPr>
            <w:r w:rsidRPr="00A4708D">
              <w:rPr>
                <w:rFonts w:ascii="Arial" w:hAnsi="Arial" w:cs="Arial"/>
                <w:sz w:val="20"/>
                <w:szCs w:val="22"/>
                <w:lang w:eastAsia="en-GB"/>
              </w:rPr>
              <w:t>Each year the NHS provides around 110 million urgent same-day patient contacts. Around 85 million of these are urgent GP appointments, and the rest are A&amp;E or minor injuries-type visits. Estimates are that 6% of GP appointments are potentially avoidable through better use of self-care and community pharmacy.</w:t>
            </w:r>
          </w:p>
          <w:p w14:paraId="4C9775E8" w14:textId="77777777" w:rsidR="00A4708D" w:rsidRPr="00A4708D" w:rsidRDefault="00A4708D" w:rsidP="00A4708D">
            <w:pPr>
              <w:pStyle w:val="NoSpacing"/>
              <w:ind w:left="720"/>
              <w:rPr>
                <w:rFonts w:ascii="Arial" w:hAnsi="Arial" w:cs="Arial"/>
                <w:sz w:val="20"/>
                <w:szCs w:val="22"/>
                <w:lang w:eastAsia="en-GB"/>
              </w:rPr>
            </w:pPr>
          </w:p>
          <w:p w14:paraId="699326EA" w14:textId="2DCB8BDA" w:rsidR="00A4708D" w:rsidRPr="00A4708D" w:rsidRDefault="00A4708D" w:rsidP="00A4708D">
            <w:pPr>
              <w:pStyle w:val="NoSpacing"/>
              <w:ind w:left="720"/>
              <w:rPr>
                <w:rFonts w:ascii="Arial" w:hAnsi="Arial" w:cs="Arial"/>
                <w:sz w:val="20"/>
                <w:szCs w:val="22"/>
                <w:lang w:eastAsia="en-GB"/>
              </w:rPr>
            </w:pPr>
            <w:r w:rsidRPr="00A4708D">
              <w:rPr>
                <w:rFonts w:ascii="Arial" w:hAnsi="Arial" w:cs="Arial"/>
                <w:sz w:val="20"/>
                <w:szCs w:val="22"/>
                <w:lang w:eastAsia="en-GB"/>
              </w:rPr>
              <w:t xml:space="preserve">The NHS England “Transforming urgent and emergency care’ report stated that community pharmacy services can play an important role in enabling self-care, particularly amongst patients with minor ailments. </w:t>
            </w:r>
          </w:p>
          <w:p w14:paraId="4D48C37C" w14:textId="77777777" w:rsidR="00A4708D" w:rsidRPr="00A4708D" w:rsidRDefault="00A4708D" w:rsidP="00A4708D">
            <w:pPr>
              <w:pStyle w:val="NoSpacing"/>
              <w:ind w:left="720"/>
              <w:rPr>
                <w:rFonts w:ascii="Arial" w:hAnsi="Arial" w:cs="Arial"/>
                <w:sz w:val="20"/>
                <w:szCs w:val="22"/>
                <w:lang w:eastAsia="en-GB"/>
              </w:rPr>
            </w:pPr>
          </w:p>
          <w:p w14:paraId="7B805C23" w14:textId="77777777" w:rsidR="00A4708D" w:rsidRPr="00A4708D" w:rsidRDefault="00896CDC" w:rsidP="00A4708D">
            <w:pPr>
              <w:pStyle w:val="NoSpacing"/>
              <w:ind w:left="720"/>
              <w:rPr>
                <w:rFonts w:ascii="Arial" w:hAnsi="Arial" w:cs="Arial"/>
                <w:sz w:val="20"/>
                <w:szCs w:val="22"/>
                <w:lang w:eastAsia="en-GB"/>
              </w:rPr>
            </w:pPr>
            <w:r>
              <w:rPr>
                <w:rFonts w:ascii="Arial" w:hAnsi="Arial" w:cs="Arial"/>
                <w:sz w:val="20"/>
                <w:szCs w:val="22"/>
                <w:lang w:eastAsia="en-GB"/>
              </w:rPr>
              <w:t>Pharmacy teams</w:t>
            </w:r>
            <w:r w:rsidR="00A4708D">
              <w:rPr>
                <w:rFonts w:ascii="Arial" w:hAnsi="Arial" w:cs="Arial"/>
                <w:sz w:val="20"/>
                <w:szCs w:val="22"/>
                <w:lang w:eastAsia="en-GB"/>
              </w:rPr>
              <w:t xml:space="preserve"> </w:t>
            </w:r>
            <w:r w:rsidR="00A4708D" w:rsidRPr="00A4708D">
              <w:rPr>
                <w:rFonts w:ascii="Arial" w:hAnsi="Arial" w:cs="Arial"/>
                <w:sz w:val="20"/>
                <w:szCs w:val="22"/>
                <w:lang w:eastAsia="en-GB"/>
              </w:rPr>
              <w:t xml:space="preserve">provide professional advice and patients may choose to purchase over the counter (OTC) medicines. </w:t>
            </w:r>
            <w:proofErr w:type="gramStart"/>
            <w:r w:rsidR="00A4708D" w:rsidRPr="00A4708D">
              <w:rPr>
                <w:rFonts w:ascii="Arial" w:hAnsi="Arial" w:cs="Arial"/>
                <w:sz w:val="20"/>
                <w:szCs w:val="22"/>
                <w:lang w:eastAsia="en-GB"/>
              </w:rPr>
              <w:t>However</w:t>
            </w:r>
            <w:proofErr w:type="gramEnd"/>
            <w:r w:rsidR="00A4708D" w:rsidRPr="00A4708D">
              <w:rPr>
                <w:rFonts w:ascii="Arial" w:hAnsi="Arial" w:cs="Arial"/>
                <w:sz w:val="20"/>
                <w:szCs w:val="22"/>
                <w:lang w:eastAsia="en-GB"/>
              </w:rPr>
              <w:t xml:space="preserve"> pharmacies are only able to allow the purchase of an OTC medicine within its licensed indications for sale. Community pharmacists commonly report frustration at not being able to treat patients due to licensing restrictions, resulting in referrals to another part of the system for a Prescription Only Medicine (POM).</w:t>
            </w:r>
          </w:p>
          <w:p w14:paraId="065BA0BB" w14:textId="77777777" w:rsidR="00A4708D" w:rsidRPr="00A4708D" w:rsidRDefault="00A4708D" w:rsidP="00A4708D">
            <w:pPr>
              <w:pStyle w:val="NoSpacing"/>
              <w:ind w:left="720"/>
              <w:rPr>
                <w:rFonts w:ascii="Arial" w:hAnsi="Arial" w:cs="Arial"/>
                <w:sz w:val="20"/>
                <w:szCs w:val="22"/>
                <w:lang w:eastAsia="en-GB"/>
              </w:rPr>
            </w:pPr>
          </w:p>
          <w:p w14:paraId="0431DCB6" w14:textId="77777777" w:rsidR="00637269" w:rsidRDefault="00A4708D" w:rsidP="00A4708D">
            <w:pPr>
              <w:pStyle w:val="NoSpacing"/>
              <w:ind w:left="720"/>
              <w:rPr>
                <w:rFonts w:ascii="Arial" w:hAnsi="Arial" w:cs="Arial"/>
                <w:sz w:val="20"/>
                <w:szCs w:val="22"/>
                <w:lang w:eastAsia="en-GB"/>
              </w:rPr>
            </w:pPr>
            <w:r w:rsidRPr="00A4708D">
              <w:rPr>
                <w:rFonts w:ascii="Arial" w:hAnsi="Arial" w:cs="Arial"/>
                <w:sz w:val="20"/>
                <w:szCs w:val="22"/>
                <w:lang w:eastAsia="en-GB"/>
              </w:rPr>
              <w:t>This proposal is therefore to commission Community Pharmacy Patient Group Directions (PGDs) to enable supplies of POMs and mean that episodes of care can be completed in the pharmacy and referrals to GP practices or out of hours providers are avoided.</w:t>
            </w:r>
          </w:p>
          <w:p w14:paraId="07ECDD21" w14:textId="77777777" w:rsidR="00A4708D" w:rsidRDefault="00A4708D" w:rsidP="00A4708D">
            <w:pPr>
              <w:pStyle w:val="NoSpacing"/>
              <w:ind w:left="720"/>
              <w:rPr>
                <w:rFonts w:ascii="Arial" w:hAnsi="Arial" w:cs="Arial"/>
                <w:sz w:val="20"/>
                <w:szCs w:val="22"/>
                <w:lang w:eastAsia="en-GB"/>
              </w:rPr>
            </w:pPr>
          </w:p>
          <w:p w14:paraId="24EBF882" w14:textId="77777777" w:rsidR="00A4708D" w:rsidRDefault="00A4708D" w:rsidP="00BD70C0">
            <w:pPr>
              <w:pStyle w:val="NoSpacing"/>
              <w:ind w:left="720"/>
              <w:rPr>
                <w:rFonts w:ascii="Arial" w:hAnsi="Arial" w:cs="Arial"/>
                <w:sz w:val="20"/>
              </w:rPr>
            </w:pPr>
          </w:p>
        </w:tc>
      </w:tr>
      <w:tr w:rsidR="00637269" w14:paraId="3B1CD718"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78C510A7" w14:textId="77777777" w:rsidR="00637269" w:rsidRDefault="00637269">
            <w:pPr>
              <w:spacing w:after="0" w:line="276" w:lineRule="auto"/>
              <w:rPr>
                <w:rFonts w:ascii="Arial" w:hAnsi="Arial" w:cs="Arial"/>
                <w:b/>
              </w:rPr>
            </w:pPr>
            <w:r>
              <w:rPr>
                <w:rFonts w:ascii="Arial" w:hAnsi="Arial" w:cs="Arial"/>
                <w:b/>
              </w:rPr>
              <w:t>2.</w:t>
            </w:r>
            <w:r>
              <w:rPr>
                <w:rFonts w:ascii="Arial" w:hAnsi="Arial" w:cs="Arial"/>
                <w:b/>
              </w:rPr>
              <w:tab/>
              <w:t>Outcomes</w:t>
            </w:r>
          </w:p>
        </w:tc>
      </w:tr>
      <w:tr w:rsidR="00637269" w14:paraId="1EF82AA9" w14:textId="77777777" w:rsidTr="000E51EF">
        <w:tc>
          <w:tcPr>
            <w:tcW w:w="8908" w:type="dxa"/>
            <w:tcBorders>
              <w:top w:val="single" w:sz="4" w:space="0" w:color="auto"/>
              <w:left w:val="single" w:sz="4" w:space="0" w:color="auto"/>
              <w:bottom w:val="single" w:sz="4" w:space="0" w:color="auto"/>
              <w:right w:val="single" w:sz="4" w:space="0" w:color="auto"/>
            </w:tcBorders>
          </w:tcPr>
          <w:p w14:paraId="5C749A72" w14:textId="77777777" w:rsidR="00637269" w:rsidRDefault="00637269">
            <w:pPr>
              <w:spacing w:after="0" w:line="276" w:lineRule="auto"/>
              <w:rPr>
                <w:rFonts w:ascii="Arial" w:hAnsi="Arial" w:cs="Arial"/>
                <w:b/>
                <w:sz w:val="20"/>
              </w:rPr>
            </w:pPr>
          </w:p>
          <w:p w14:paraId="0055E262" w14:textId="77777777" w:rsidR="00637269" w:rsidRDefault="00637269">
            <w:pPr>
              <w:spacing w:after="0" w:line="276" w:lineRule="auto"/>
              <w:rPr>
                <w:rFonts w:ascii="Arial" w:hAnsi="Arial" w:cs="Arial"/>
                <w:b/>
                <w:sz w:val="20"/>
              </w:rPr>
            </w:pPr>
            <w:r>
              <w:rPr>
                <w:rFonts w:ascii="Arial" w:hAnsi="Arial" w:cs="Arial"/>
                <w:b/>
                <w:sz w:val="20"/>
              </w:rPr>
              <w:t>2.1</w:t>
            </w:r>
            <w:r>
              <w:rPr>
                <w:rFonts w:ascii="Arial" w:hAnsi="Arial" w:cs="Arial"/>
                <w:b/>
                <w:sz w:val="20"/>
              </w:rPr>
              <w:tab/>
            </w:r>
            <w:r>
              <w:rPr>
                <w:rFonts w:ascii="Arial" w:hAnsi="Arial" w:cs="Arial"/>
                <w:b/>
                <w:sz w:val="20"/>
                <w:u w:val="single"/>
              </w:rPr>
              <w:t>NHS Outcomes Framework Domains &amp; Indicators</w:t>
            </w:r>
          </w:p>
          <w:p w14:paraId="79DA6A58" w14:textId="77777777" w:rsidR="00637269" w:rsidRDefault="00637269">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637269" w14:paraId="4C4490C9" w14:textId="77777777">
              <w:trPr>
                <w:tblHeader/>
              </w:trPr>
              <w:tc>
                <w:tcPr>
                  <w:tcW w:w="1276" w:type="dxa"/>
                  <w:tcBorders>
                    <w:top w:val="single" w:sz="4" w:space="0" w:color="auto"/>
                    <w:left w:val="single" w:sz="4" w:space="0" w:color="auto"/>
                    <w:bottom w:val="single" w:sz="4" w:space="0" w:color="auto"/>
                    <w:right w:val="single" w:sz="4" w:space="0" w:color="auto"/>
                  </w:tcBorders>
                  <w:hideMark/>
                </w:tcPr>
                <w:p w14:paraId="4B2E9A45"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hideMark/>
                </w:tcPr>
                <w:p w14:paraId="55E12B4C"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14:paraId="3A46E178" w14:textId="77777777" w:rsidR="00637269" w:rsidRDefault="00637269">
                  <w:pPr>
                    <w:spacing w:after="0" w:line="276" w:lineRule="auto"/>
                    <w:rPr>
                      <w:rFonts w:ascii="Arial" w:hAnsi="Arial" w:cs="Arial"/>
                      <w:b/>
                      <w:sz w:val="20"/>
                      <w:lang w:eastAsia="en-GB"/>
                    </w:rPr>
                  </w:pPr>
                </w:p>
              </w:tc>
            </w:tr>
            <w:tr w:rsidR="00637269" w14:paraId="56CAE212" w14:textId="77777777">
              <w:tc>
                <w:tcPr>
                  <w:tcW w:w="1276" w:type="dxa"/>
                  <w:tcBorders>
                    <w:top w:val="single" w:sz="4" w:space="0" w:color="auto"/>
                    <w:left w:val="single" w:sz="4" w:space="0" w:color="auto"/>
                    <w:bottom w:val="single" w:sz="4" w:space="0" w:color="auto"/>
                    <w:right w:val="single" w:sz="4" w:space="0" w:color="auto"/>
                  </w:tcBorders>
                  <w:hideMark/>
                </w:tcPr>
                <w:p w14:paraId="7D7340D6"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14:paraId="498B5F6E"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14:paraId="02D8EB63" w14:textId="77777777" w:rsidR="00637269" w:rsidRDefault="00637269">
                  <w:pPr>
                    <w:spacing w:after="0" w:line="276" w:lineRule="auto"/>
                    <w:rPr>
                      <w:rFonts w:ascii="Arial" w:hAnsi="Arial" w:cs="Arial"/>
                      <w:b/>
                      <w:sz w:val="20"/>
                      <w:lang w:eastAsia="en-GB"/>
                    </w:rPr>
                  </w:pPr>
                </w:p>
              </w:tc>
            </w:tr>
            <w:tr w:rsidR="00637269" w14:paraId="092B0406" w14:textId="77777777">
              <w:tc>
                <w:tcPr>
                  <w:tcW w:w="1276" w:type="dxa"/>
                  <w:tcBorders>
                    <w:top w:val="single" w:sz="4" w:space="0" w:color="auto"/>
                    <w:left w:val="single" w:sz="4" w:space="0" w:color="auto"/>
                    <w:bottom w:val="single" w:sz="4" w:space="0" w:color="auto"/>
                    <w:right w:val="single" w:sz="4" w:space="0" w:color="auto"/>
                  </w:tcBorders>
                  <w:hideMark/>
                </w:tcPr>
                <w:p w14:paraId="404FB3B8"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14:paraId="4CAE68E5"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14:paraId="59FAE4DE"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14:paraId="39196E18" w14:textId="77777777">
              <w:tc>
                <w:tcPr>
                  <w:tcW w:w="1276" w:type="dxa"/>
                  <w:tcBorders>
                    <w:top w:val="single" w:sz="4" w:space="0" w:color="auto"/>
                    <w:left w:val="single" w:sz="4" w:space="0" w:color="auto"/>
                    <w:bottom w:val="single" w:sz="4" w:space="0" w:color="auto"/>
                    <w:right w:val="single" w:sz="4" w:space="0" w:color="auto"/>
                  </w:tcBorders>
                  <w:hideMark/>
                </w:tcPr>
                <w:p w14:paraId="524618D2"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hideMark/>
                </w:tcPr>
                <w:p w14:paraId="6633046E"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14:paraId="4E3DEF7D"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r w:rsidR="00637269" w14:paraId="2405C9BB" w14:textId="77777777">
              <w:tc>
                <w:tcPr>
                  <w:tcW w:w="1276" w:type="dxa"/>
                  <w:tcBorders>
                    <w:top w:val="single" w:sz="4" w:space="0" w:color="auto"/>
                    <w:left w:val="single" w:sz="4" w:space="0" w:color="auto"/>
                    <w:bottom w:val="single" w:sz="4" w:space="0" w:color="auto"/>
                    <w:right w:val="single" w:sz="4" w:space="0" w:color="auto"/>
                  </w:tcBorders>
                  <w:hideMark/>
                </w:tcPr>
                <w:p w14:paraId="1FA166D6"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hideMark/>
                </w:tcPr>
                <w:p w14:paraId="0DF2EA99" w14:textId="77777777" w:rsidR="00637269" w:rsidRDefault="00637269">
                  <w:pPr>
                    <w:spacing w:after="0" w:line="276" w:lineRule="auto"/>
                    <w:rPr>
                      <w:rFonts w:ascii="Arial" w:hAnsi="Arial" w:cs="Arial"/>
                      <w:b/>
                      <w:sz w:val="20"/>
                      <w:lang w:eastAsia="en-GB"/>
                    </w:rPr>
                  </w:pPr>
                  <w:r>
                    <w:rPr>
                      <w:rFonts w:ascii="Arial" w:hAnsi="Arial" w:cs="Arial"/>
                      <w:b/>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14:paraId="3B1EB4AB" w14:textId="77777777" w:rsidR="00637269" w:rsidRDefault="00771EB3">
                  <w:pPr>
                    <w:spacing w:after="0" w:line="276" w:lineRule="auto"/>
                    <w:rPr>
                      <w:rFonts w:ascii="Arial" w:hAnsi="Arial" w:cs="Arial"/>
                      <w:b/>
                      <w:sz w:val="20"/>
                      <w:lang w:eastAsia="en-GB"/>
                    </w:rPr>
                  </w:pPr>
                  <w:r>
                    <w:rPr>
                      <w:rFonts w:ascii="Arial" w:hAnsi="Arial" w:cs="Arial"/>
                      <w:b/>
                      <w:sz w:val="20"/>
                      <w:lang w:eastAsia="en-GB"/>
                    </w:rPr>
                    <w:t>X</w:t>
                  </w:r>
                </w:p>
              </w:tc>
            </w:tr>
          </w:tbl>
          <w:p w14:paraId="0D94C28C" w14:textId="77777777" w:rsidR="00637269" w:rsidRDefault="00637269">
            <w:pPr>
              <w:spacing w:after="0" w:line="276" w:lineRule="auto"/>
              <w:rPr>
                <w:rFonts w:ascii="Arial" w:hAnsi="Arial" w:cs="Arial"/>
                <w:b/>
                <w:sz w:val="20"/>
              </w:rPr>
            </w:pPr>
          </w:p>
        </w:tc>
      </w:tr>
      <w:tr w:rsidR="00637269" w14:paraId="7D248901"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318958E8" w14:textId="77777777" w:rsidR="00637269" w:rsidRDefault="00637269">
            <w:pPr>
              <w:spacing w:after="0" w:line="276" w:lineRule="auto"/>
              <w:rPr>
                <w:rFonts w:ascii="Arial" w:hAnsi="Arial" w:cs="Arial"/>
                <w:b/>
              </w:rPr>
            </w:pPr>
            <w:r>
              <w:rPr>
                <w:rFonts w:ascii="Arial" w:hAnsi="Arial" w:cs="Arial"/>
                <w:b/>
              </w:rPr>
              <w:t>3.</w:t>
            </w:r>
            <w:r>
              <w:rPr>
                <w:rFonts w:ascii="Arial" w:hAnsi="Arial" w:cs="Arial"/>
                <w:b/>
              </w:rPr>
              <w:tab/>
              <w:t>Scope</w:t>
            </w:r>
          </w:p>
        </w:tc>
      </w:tr>
      <w:tr w:rsidR="00637269" w14:paraId="53891303" w14:textId="77777777" w:rsidTr="000E51EF">
        <w:tc>
          <w:tcPr>
            <w:tcW w:w="8908" w:type="dxa"/>
            <w:tcBorders>
              <w:top w:val="single" w:sz="4" w:space="0" w:color="auto"/>
              <w:left w:val="single" w:sz="4" w:space="0" w:color="auto"/>
              <w:bottom w:val="single" w:sz="4" w:space="0" w:color="auto"/>
              <w:right w:val="single" w:sz="4" w:space="0" w:color="auto"/>
            </w:tcBorders>
          </w:tcPr>
          <w:p w14:paraId="7DA8EB90" w14:textId="77777777" w:rsidR="00FD56F9" w:rsidRPr="009D41AF" w:rsidRDefault="00FD56F9" w:rsidP="009D41AF">
            <w:pPr>
              <w:pStyle w:val="NoSpacing"/>
              <w:rPr>
                <w:rFonts w:ascii="Arial" w:hAnsi="Arial" w:cs="Arial"/>
                <w:sz w:val="20"/>
              </w:rPr>
            </w:pPr>
          </w:p>
          <w:p w14:paraId="5461EB6C" w14:textId="77777777" w:rsidR="009D41AF" w:rsidRPr="009D41AF" w:rsidRDefault="009D41AF" w:rsidP="009D41AF">
            <w:pPr>
              <w:pStyle w:val="NoSpacing"/>
              <w:rPr>
                <w:rFonts w:ascii="Arial" w:hAnsi="Arial" w:cs="Arial"/>
                <w:b/>
                <w:sz w:val="20"/>
              </w:rPr>
            </w:pPr>
            <w:r w:rsidRPr="009D41AF">
              <w:rPr>
                <w:rFonts w:ascii="Arial" w:hAnsi="Arial" w:cs="Arial"/>
                <w:b/>
                <w:sz w:val="20"/>
              </w:rPr>
              <w:t>3.1</w:t>
            </w:r>
            <w:r>
              <w:rPr>
                <w:rFonts w:ascii="Arial" w:hAnsi="Arial" w:cs="Arial"/>
                <w:b/>
                <w:sz w:val="20"/>
              </w:rPr>
              <w:t xml:space="preserve">      </w:t>
            </w:r>
            <w:r w:rsidRPr="009D41AF">
              <w:rPr>
                <w:rFonts w:ascii="Arial" w:hAnsi="Arial" w:cs="Arial"/>
                <w:b/>
                <w:sz w:val="20"/>
              </w:rPr>
              <w:t>Purpose</w:t>
            </w:r>
          </w:p>
          <w:p w14:paraId="4B916EAB" w14:textId="77777777" w:rsidR="009D41AF" w:rsidRPr="009D41AF" w:rsidRDefault="009D41AF" w:rsidP="009D41AF">
            <w:pPr>
              <w:pStyle w:val="NoSpacing"/>
              <w:rPr>
                <w:rFonts w:ascii="Arial" w:hAnsi="Arial" w:cs="Arial"/>
                <w:b/>
                <w:sz w:val="20"/>
              </w:rPr>
            </w:pPr>
          </w:p>
          <w:p w14:paraId="254F6732" w14:textId="463D6444" w:rsidR="00A4708D" w:rsidRPr="009D41AF" w:rsidRDefault="009D41AF" w:rsidP="009D41AF">
            <w:pPr>
              <w:pStyle w:val="NoSpacing"/>
              <w:ind w:left="720"/>
              <w:rPr>
                <w:rFonts w:ascii="Arial" w:eastAsiaTheme="minorHAnsi" w:hAnsi="Arial" w:cs="Arial"/>
                <w:b/>
                <w:sz w:val="20"/>
                <w:lang w:eastAsia="en-US"/>
              </w:rPr>
            </w:pPr>
            <w:r w:rsidRPr="009D41AF">
              <w:rPr>
                <w:rFonts w:ascii="Arial" w:hAnsi="Arial" w:cs="Arial"/>
                <w:b/>
                <w:sz w:val="20"/>
                <w:lang w:eastAsia="en-GB"/>
              </w:rPr>
              <w:t>3.1.1</w:t>
            </w:r>
            <w:r>
              <w:rPr>
                <w:rFonts w:ascii="Arial" w:hAnsi="Arial" w:cs="Arial"/>
                <w:sz w:val="20"/>
                <w:lang w:eastAsia="en-GB"/>
              </w:rPr>
              <w:t xml:space="preserve"> </w:t>
            </w:r>
            <w:r w:rsidR="00A4708D" w:rsidRPr="009D41AF">
              <w:rPr>
                <w:rFonts w:ascii="Arial" w:hAnsi="Arial" w:cs="Arial"/>
                <w:sz w:val="20"/>
                <w:lang w:eastAsia="en-GB"/>
              </w:rPr>
              <w:t xml:space="preserve">To ensure that patients can, where appropriate, be supplied with a POM without the need to consult a prescriber in their GP practice, integrated urgent care (IUC) or A&amp;E. </w:t>
            </w:r>
            <w:r w:rsidR="004F70ED">
              <w:rPr>
                <w:rFonts w:ascii="Arial" w:eastAsia="Times New Roman" w:hAnsi="Arial" w:cs="Arial"/>
                <w:sz w:val="20"/>
                <w:lang w:eastAsia="en-GB"/>
              </w:rPr>
              <w:t>A PGD service will</w:t>
            </w:r>
            <w:r w:rsidR="00A4708D" w:rsidRPr="009D41AF">
              <w:rPr>
                <w:rFonts w:ascii="Arial" w:eastAsia="Times New Roman" w:hAnsi="Arial" w:cs="Arial"/>
                <w:sz w:val="20"/>
                <w:lang w:eastAsia="en-GB"/>
              </w:rPr>
              <w:t xml:space="preserve"> support the urgent care system for patients attending pharmacy </w:t>
            </w:r>
            <w:r w:rsidR="0071379D" w:rsidRPr="009D41AF">
              <w:rPr>
                <w:rFonts w:ascii="Arial" w:eastAsia="Times New Roman" w:hAnsi="Arial" w:cs="Arial"/>
                <w:sz w:val="20"/>
                <w:lang w:eastAsia="en-GB"/>
              </w:rPr>
              <w:t>directly or</w:t>
            </w:r>
            <w:r w:rsidR="00A4708D" w:rsidRPr="009D41AF">
              <w:rPr>
                <w:rFonts w:ascii="Arial" w:eastAsia="Times New Roman" w:hAnsi="Arial" w:cs="Arial"/>
                <w:sz w:val="20"/>
                <w:lang w:eastAsia="en-GB"/>
              </w:rPr>
              <w:t xml:space="preserve"> being referred via NHS 111 or their GP.</w:t>
            </w:r>
          </w:p>
          <w:p w14:paraId="7236B12B" w14:textId="77777777" w:rsidR="00A4708D" w:rsidRPr="009D41AF" w:rsidRDefault="00A4708D" w:rsidP="009D41AF">
            <w:pPr>
              <w:pStyle w:val="NoSpacing"/>
              <w:rPr>
                <w:rFonts w:ascii="Arial" w:hAnsi="Arial" w:cs="Arial"/>
                <w:b/>
                <w:sz w:val="20"/>
              </w:rPr>
            </w:pPr>
          </w:p>
          <w:p w14:paraId="3737ADD1" w14:textId="77777777" w:rsidR="00FD56F9" w:rsidRPr="009D41AF" w:rsidRDefault="00A4708D" w:rsidP="009D41AF">
            <w:pPr>
              <w:pStyle w:val="NoSpacing"/>
              <w:rPr>
                <w:rFonts w:ascii="Arial" w:hAnsi="Arial" w:cs="Arial"/>
                <w:b/>
                <w:sz w:val="20"/>
              </w:rPr>
            </w:pPr>
            <w:r w:rsidRPr="009D41AF">
              <w:rPr>
                <w:rFonts w:ascii="Arial" w:hAnsi="Arial" w:cs="Arial"/>
                <w:b/>
                <w:sz w:val="20"/>
              </w:rPr>
              <w:t xml:space="preserve">3.2 </w:t>
            </w:r>
            <w:r w:rsidR="009D41AF">
              <w:rPr>
                <w:rFonts w:ascii="Arial" w:hAnsi="Arial" w:cs="Arial"/>
                <w:b/>
                <w:sz w:val="20"/>
              </w:rPr>
              <w:t xml:space="preserve">     </w:t>
            </w:r>
            <w:r w:rsidR="00FD56F9" w:rsidRPr="009D41AF">
              <w:rPr>
                <w:rFonts w:ascii="Arial" w:hAnsi="Arial" w:cs="Arial"/>
                <w:b/>
                <w:sz w:val="20"/>
              </w:rPr>
              <w:t xml:space="preserve">Aims and Intended Service Outcomes </w:t>
            </w:r>
          </w:p>
          <w:p w14:paraId="6E13F3AE" w14:textId="77777777" w:rsidR="00FD56F9" w:rsidRPr="009D41AF" w:rsidRDefault="00FD56F9" w:rsidP="009D41AF">
            <w:pPr>
              <w:pStyle w:val="NoSpacing"/>
              <w:rPr>
                <w:rFonts w:ascii="Arial" w:hAnsi="Arial" w:cs="Arial"/>
                <w:b/>
                <w:sz w:val="20"/>
              </w:rPr>
            </w:pPr>
          </w:p>
          <w:p w14:paraId="0E78425D" w14:textId="77777777" w:rsidR="00A4708D" w:rsidRDefault="00A4708D" w:rsidP="009D41AF">
            <w:pPr>
              <w:pStyle w:val="NoSpacing"/>
              <w:ind w:left="720"/>
              <w:rPr>
                <w:rFonts w:ascii="Arial" w:hAnsi="Arial" w:cs="Arial"/>
                <w:sz w:val="20"/>
              </w:rPr>
            </w:pPr>
            <w:r w:rsidRPr="009D41AF">
              <w:rPr>
                <w:rFonts w:ascii="Arial" w:hAnsi="Arial" w:cs="Arial"/>
                <w:b/>
                <w:sz w:val="20"/>
              </w:rPr>
              <w:t>3.2.1</w:t>
            </w:r>
            <w:r w:rsidRPr="009D41AF">
              <w:rPr>
                <w:rFonts w:ascii="Arial" w:hAnsi="Arial" w:cs="Arial"/>
                <w:sz w:val="20"/>
              </w:rPr>
              <w:t xml:space="preserve"> To improve access and choice for people with </w:t>
            </w:r>
            <w:r w:rsidRPr="00044D77">
              <w:rPr>
                <w:rFonts w:ascii="Arial" w:hAnsi="Arial" w:cs="Arial"/>
                <w:sz w:val="20"/>
              </w:rPr>
              <w:t>some minor ailments normally requiring an FP10 prescription</w:t>
            </w:r>
            <w:r w:rsidR="009D41AF">
              <w:rPr>
                <w:rFonts w:ascii="Arial" w:hAnsi="Arial" w:cs="Arial"/>
                <w:sz w:val="20"/>
              </w:rPr>
              <w:t>.</w:t>
            </w:r>
          </w:p>
          <w:p w14:paraId="3696AFD8" w14:textId="77777777" w:rsidR="009D41AF" w:rsidRPr="009D41AF" w:rsidRDefault="009D41AF" w:rsidP="009D41AF">
            <w:pPr>
              <w:pStyle w:val="NoSpacing"/>
              <w:ind w:left="720"/>
              <w:rPr>
                <w:rFonts w:ascii="Arial" w:hAnsi="Arial" w:cs="Arial"/>
                <w:sz w:val="20"/>
              </w:rPr>
            </w:pPr>
          </w:p>
          <w:p w14:paraId="4DE4C4F0" w14:textId="77777777" w:rsidR="00A4708D" w:rsidRDefault="009D41AF" w:rsidP="009D41AF">
            <w:pPr>
              <w:pStyle w:val="NoSpacing"/>
              <w:ind w:left="720"/>
              <w:rPr>
                <w:rFonts w:ascii="Arial" w:hAnsi="Arial" w:cs="Arial"/>
                <w:sz w:val="20"/>
              </w:rPr>
            </w:pPr>
            <w:r w:rsidRPr="009D41AF">
              <w:rPr>
                <w:rFonts w:ascii="Arial" w:hAnsi="Arial" w:cs="Arial"/>
                <w:b/>
                <w:sz w:val="20"/>
              </w:rPr>
              <w:t>3.2.2</w:t>
            </w:r>
            <w:r w:rsidRPr="009D41AF">
              <w:rPr>
                <w:rFonts w:ascii="Arial" w:hAnsi="Arial" w:cs="Arial"/>
                <w:sz w:val="20"/>
              </w:rPr>
              <w:t xml:space="preserve"> </w:t>
            </w:r>
            <w:r w:rsidR="00A4708D" w:rsidRPr="009D41AF">
              <w:rPr>
                <w:rFonts w:ascii="Arial" w:hAnsi="Arial" w:cs="Arial"/>
                <w:sz w:val="20"/>
              </w:rPr>
              <w:t>Increase the scope of minor illness that community pharmacists can treat</w:t>
            </w:r>
            <w:r>
              <w:rPr>
                <w:rFonts w:ascii="Arial" w:hAnsi="Arial" w:cs="Arial"/>
                <w:sz w:val="20"/>
              </w:rPr>
              <w:t>.</w:t>
            </w:r>
          </w:p>
          <w:p w14:paraId="5C64125D" w14:textId="77777777" w:rsidR="009D41AF" w:rsidRPr="009D41AF" w:rsidRDefault="009D41AF" w:rsidP="009D41AF">
            <w:pPr>
              <w:pStyle w:val="NoSpacing"/>
              <w:ind w:left="720"/>
              <w:rPr>
                <w:rFonts w:ascii="Arial" w:hAnsi="Arial" w:cs="Arial"/>
                <w:sz w:val="20"/>
              </w:rPr>
            </w:pPr>
          </w:p>
          <w:p w14:paraId="06215833" w14:textId="77777777" w:rsidR="00A4708D" w:rsidRDefault="009D41AF" w:rsidP="009D41AF">
            <w:pPr>
              <w:pStyle w:val="NoSpacing"/>
              <w:ind w:left="720"/>
              <w:rPr>
                <w:rFonts w:ascii="Arial" w:hAnsi="Arial" w:cs="Arial"/>
                <w:sz w:val="20"/>
              </w:rPr>
            </w:pPr>
            <w:r w:rsidRPr="009D41AF">
              <w:rPr>
                <w:rFonts w:ascii="Arial" w:hAnsi="Arial" w:cs="Arial"/>
                <w:b/>
                <w:sz w:val="20"/>
              </w:rPr>
              <w:t>3.2.3</w:t>
            </w:r>
            <w:r w:rsidRPr="009D41AF">
              <w:rPr>
                <w:rFonts w:ascii="Arial" w:hAnsi="Arial" w:cs="Arial"/>
                <w:sz w:val="20"/>
              </w:rPr>
              <w:t xml:space="preserve"> </w:t>
            </w:r>
            <w:r>
              <w:rPr>
                <w:rFonts w:ascii="Arial" w:hAnsi="Arial" w:cs="Arial"/>
                <w:sz w:val="20"/>
              </w:rPr>
              <w:t>Make use of the 7 day</w:t>
            </w:r>
            <w:r w:rsidR="00A4708D" w:rsidRPr="009D41AF">
              <w:rPr>
                <w:rFonts w:ascii="Arial" w:hAnsi="Arial" w:cs="Arial"/>
                <w:sz w:val="20"/>
              </w:rPr>
              <w:t xml:space="preserve"> and out of hours</w:t>
            </w:r>
            <w:r w:rsidR="004F70ED">
              <w:rPr>
                <w:rFonts w:ascii="Arial" w:hAnsi="Arial" w:cs="Arial"/>
                <w:sz w:val="20"/>
              </w:rPr>
              <w:t>’</w:t>
            </w:r>
            <w:r w:rsidR="00A4708D" w:rsidRPr="009D41AF">
              <w:rPr>
                <w:rFonts w:ascii="Arial" w:hAnsi="Arial" w:cs="Arial"/>
                <w:sz w:val="20"/>
              </w:rPr>
              <w:t xml:space="preserve"> services provided by some community pharmacies</w:t>
            </w:r>
            <w:r>
              <w:rPr>
                <w:rFonts w:ascii="Arial" w:hAnsi="Arial" w:cs="Arial"/>
                <w:sz w:val="20"/>
              </w:rPr>
              <w:t>.</w:t>
            </w:r>
          </w:p>
          <w:p w14:paraId="48414AE8" w14:textId="77777777" w:rsidR="009D41AF" w:rsidRPr="009D41AF" w:rsidRDefault="009D41AF" w:rsidP="009D41AF">
            <w:pPr>
              <w:pStyle w:val="NoSpacing"/>
              <w:ind w:left="720"/>
              <w:rPr>
                <w:rFonts w:ascii="Arial" w:hAnsi="Arial" w:cs="Arial"/>
                <w:sz w:val="20"/>
              </w:rPr>
            </w:pPr>
          </w:p>
          <w:p w14:paraId="0BE390D5" w14:textId="07DE32C8" w:rsidR="00A4708D" w:rsidRDefault="009D41AF" w:rsidP="009D41AF">
            <w:pPr>
              <w:pStyle w:val="NoSpacing"/>
              <w:ind w:left="720"/>
              <w:rPr>
                <w:rFonts w:ascii="Arial" w:hAnsi="Arial" w:cs="Arial"/>
                <w:sz w:val="20"/>
              </w:rPr>
            </w:pPr>
            <w:r w:rsidRPr="009D41AF">
              <w:rPr>
                <w:rFonts w:ascii="Arial" w:hAnsi="Arial" w:cs="Arial"/>
                <w:b/>
                <w:sz w:val="20"/>
              </w:rPr>
              <w:t>3.2.4</w:t>
            </w:r>
            <w:r>
              <w:rPr>
                <w:rFonts w:ascii="Arial" w:hAnsi="Arial" w:cs="Arial"/>
                <w:sz w:val="20"/>
              </w:rPr>
              <w:t xml:space="preserve"> </w:t>
            </w:r>
            <w:r w:rsidR="00A4708D" w:rsidRPr="009D41AF">
              <w:rPr>
                <w:rFonts w:ascii="Arial" w:hAnsi="Arial" w:cs="Arial"/>
                <w:sz w:val="20"/>
              </w:rPr>
              <w:t>Ensure that patients are treated to the same clinical pathway in a consistent way regardless of which healthcare prof</w:t>
            </w:r>
            <w:r w:rsidR="00A4708D" w:rsidRPr="00044D77">
              <w:rPr>
                <w:rFonts w:ascii="Arial" w:hAnsi="Arial" w:cs="Arial"/>
                <w:sz w:val="20"/>
              </w:rPr>
              <w:t xml:space="preserve">essional the patient consults with across </w:t>
            </w:r>
            <w:r w:rsidR="00044D77" w:rsidRPr="00044D77">
              <w:rPr>
                <w:rFonts w:ascii="Arial" w:hAnsi="Arial" w:cs="Arial"/>
                <w:sz w:val="20"/>
              </w:rPr>
              <w:t xml:space="preserve">Bath, </w:t>
            </w:r>
            <w:proofErr w:type="gramStart"/>
            <w:r w:rsidR="00044D77" w:rsidRPr="00044D77">
              <w:rPr>
                <w:rFonts w:ascii="Arial" w:hAnsi="Arial" w:cs="Arial"/>
                <w:sz w:val="20"/>
              </w:rPr>
              <w:t>Swindon</w:t>
            </w:r>
            <w:proofErr w:type="gramEnd"/>
            <w:r w:rsidR="00044D77" w:rsidRPr="00044D77">
              <w:rPr>
                <w:rFonts w:ascii="Arial" w:hAnsi="Arial" w:cs="Arial"/>
                <w:sz w:val="20"/>
              </w:rPr>
              <w:t xml:space="preserve"> an</w:t>
            </w:r>
            <w:r w:rsidR="00CA7CA4">
              <w:rPr>
                <w:rFonts w:ascii="Arial" w:hAnsi="Arial" w:cs="Arial"/>
                <w:sz w:val="20"/>
              </w:rPr>
              <w:t>d</w:t>
            </w:r>
            <w:r w:rsidR="00044D77" w:rsidRPr="00044D77">
              <w:rPr>
                <w:rFonts w:ascii="Arial" w:hAnsi="Arial" w:cs="Arial"/>
                <w:sz w:val="20"/>
              </w:rPr>
              <w:t xml:space="preserve"> Wiltshire</w:t>
            </w:r>
            <w:r w:rsidR="00BD70C0" w:rsidRPr="00044D77">
              <w:rPr>
                <w:rFonts w:ascii="Arial" w:hAnsi="Arial" w:cs="Arial"/>
                <w:sz w:val="20"/>
              </w:rPr>
              <w:t xml:space="preserve"> (B</w:t>
            </w:r>
            <w:r w:rsidR="00044D77" w:rsidRPr="00044D77">
              <w:rPr>
                <w:rFonts w:ascii="Arial" w:hAnsi="Arial" w:cs="Arial"/>
                <w:sz w:val="20"/>
              </w:rPr>
              <w:t>SW</w:t>
            </w:r>
            <w:r w:rsidR="00BD70C0" w:rsidRPr="00044D77">
              <w:rPr>
                <w:rFonts w:ascii="Arial" w:hAnsi="Arial" w:cs="Arial"/>
                <w:sz w:val="20"/>
              </w:rPr>
              <w:t xml:space="preserve">) </w:t>
            </w:r>
            <w:r w:rsidR="0098454B">
              <w:rPr>
                <w:rFonts w:ascii="Arial" w:hAnsi="Arial" w:cs="Arial"/>
                <w:sz w:val="20"/>
              </w:rPr>
              <w:t>ICB.</w:t>
            </w:r>
          </w:p>
          <w:p w14:paraId="3437FA18" w14:textId="77777777" w:rsidR="009D41AF" w:rsidRPr="009D41AF" w:rsidRDefault="009D41AF" w:rsidP="009D41AF">
            <w:pPr>
              <w:pStyle w:val="NoSpacing"/>
              <w:ind w:left="720"/>
              <w:rPr>
                <w:rFonts w:ascii="Arial" w:hAnsi="Arial" w:cs="Arial"/>
                <w:sz w:val="20"/>
              </w:rPr>
            </w:pPr>
          </w:p>
          <w:p w14:paraId="628245D4" w14:textId="77777777" w:rsidR="00A4708D" w:rsidRDefault="009D41AF" w:rsidP="009D41AF">
            <w:pPr>
              <w:pStyle w:val="NoSpacing"/>
              <w:ind w:left="720"/>
              <w:rPr>
                <w:rFonts w:ascii="Arial" w:hAnsi="Arial" w:cs="Arial"/>
                <w:sz w:val="20"/>
              </w:rPr>
            </w:pPr>
            <w:r w:rsidRPr="009D41AF">
              <w:rPr>
                <w:rFonts w:ascii="Arial" w:hAnsi="Arial" w:cs="Arial"/>
                <w:b/>
                <w:sz w:val="20"/>
              </w:rPr>
              <w:t>3.2.5</w:t>
            </w:r>
            <w:r>
              <w:rPr>
                <w:rFonts w:ascii="Arial" w:hAnsi="Arial" w:cs="Arial"/>
                <w:sz w:val="20"/>
              </w:rPr>
              <w:t xml:space="preserve"> </w:t>
            </w:r>
            <w:r w:rsidR="00A4708D" w:rsidRPr="009D41AF">
              <w:rPr>
                <w:rFonts w:ascii="Arial" w:hAnsi="Arial" w:cs="Arial"/>
                <w:sz w:val="20"/>
              </w:rPr>
              <w:t>Ensure that patients have a positive experience of care in a community pharmacy setting and can be treated in a single episode of care</w:t>
            </w:r>
            <w:r>
              <w:rPr>
                <w:rFonts w:ascii="Arial" w:hAnsi="Arial" w:cs="Arial"/>
                <w:sz w:val="20"/>
              </w:rPr>
              <w:t>.</w:t>
            </w:r>
          </w:p>
          <w:p w14:paraId="3ABDD16C" w14:textId="77777777" w:rsidR="00641045" w:rsidRDefault="00641045" w:rsidP="009D41AF">
            <w:pPr>
              <w:pStyle w:val="NoSpacing"/>
              <w:ind w:left="720"/>
              <w:rPr>
                <w:rFonts w:ascii="Arial" w:hAnsi="Arial" w:cs="Arial"/>
                <w:sz w:val="20"/>
              </w:rPr>
            </w:pPr>
          </w:p>
          <w:p w14:paraId="1F17FC4B" w14:textId="77777777" w:rsidR="00641045" w:rsidRDefault="00641045" w:rsidP="009D41AF">
            <w:pPr>
              <w:pStyle w:val="NoSpacing"/>
              <w:ind w:left="720"/>
              <w:rPr>
                <w:rFonts w:ascii="Arial" w:hAnsi="Arial" w:cs="Arial"/>
                <w:sz w:val="20"/>
              </w:rPr>
            </w:pPr>
            <w:r w:rsidRPr="00641045">
              <w:rPr>
                <w:rFonts w:ascii="Arial" w:hAnsi="Arial" w:cs="Arial"/>
                <w:b/>
                <w:sz w:val="20"/>
              </w:rPr>
              <w:t>3.2.6</w:t>
            </w:r>
            <w:r>
              <w:rPr>
                <w:rFonts w:ascii="Arial" w:hAnsi="Arial" w:cs="Arial"/>
                <w:sz w:val="20"/>
              </w:rPr>
              <w:t xml:space="preserve"> Move care closer to home for patients</w:t>
            </w:r>
          </w:p>
          <w:p w14:paraId="76369DD6" w14:textId="77777777" w:rsidR="00641045" w:rsidRDefault="00641045" w:rsidP="009D41AF">
            <w:pPr>
              <w:pStyle w:val="NoSpacing"/>
              <w:ind w:left="720"/>
              <w:rPr>
                <w:rFonts w:ascii="Arial" w:hAnsi="Arial" w:cs="Arial"/>
                <w:sz w:val="20"/>
              </w:rPr>
            </w:pPr>
          </w:p>
          <w:p w14:paraId="28521DB8" w14:textId="77777777" w:rsidR="00641045" w:rsidRPr="004441E4" w:rsidRDefault="00641045" w:rsidP="009D41AF">
            <w:pPr>
              <w:pStyle w:val="NoSpacing"/>
              <w:ind w:left="720"/>
              <w:rPr>
                <w:rFonts w:ascii="Arial" w:hAnsi="Arial" w:cs="Arial"/>
                <w:sz w:val="20"/>
              </w:rPr>
            </w:pPr>
            <w:r w:rsidRPr="004441E4">
              <w:rPr>
                <w:rFonts w:ascii="Arial" w:hAnsi="Arial" w:cs="Arial"/>
                <w:b/>
                <w:sz w:val="20"/>
              </w:rPr>
              <w:t>3.2.7</w:t>
            </w:r>
            <w:r w:rsidRPr="004441E4">
              <w:rPr>
                <w:rFonts w:ascii="Arial" w:hAnsi="Arial" w:cs="Arial"/>
                <w:sz w:val="20"/>
              </w:rPr>
              <w:t xml:space="preserve"> Reduce pressure on other parts of the healthcare </w:t>
            </w:r>
            <w:proofErr w:type="gramStart"/>
            <w:r w:rsidRPr="004441E4">
              <w:rPr>
                <w:rFonts w:ascii="Arial" w:hAnsi="Arial" w:cs="Arial"/>
                <w:sz w:val="20"/>
              </w:rPr>
              <w:t>system</w:t>
            </w:r>
            <w:proofErr w:type="gramEnd"/>
          </w:p>
          <w:p w14:paraId="714AE2CC" w14:textId="77777777" w:rsidR="009D41AF" w:rsidRPr="004441E4" w:rsidRDefault="009D41AF" w:rsidP="009D41AF">
            <w:pPr>
              <w:pStyle w:val="NoSpacing"/>
              <w:ind w:left="720"/>
              <w:rPr>
                <w:rFonts w:ascii="Arial" w:hAnsi="Arial" w:cs="Arial"/>
                <w:sz w:val="20"/>
              </w:rPr>
            </w:pPr>
          </w:p>
          <w:p w14:paraId="60EBACD6" w14:textId="77777777" w:rsidR="00FD56F9" w:rsidRPr="004441E4" w:rsidRDefault="009D41AF" w:rsidP="009D41AF">
            <w:pPr>
              <w:pStyle w:val="NoSpacing"/>
              <w:ind w:left="720"/>
              <w:rPr>
                <w:rFonts w:ascii="Arial" w:hAnsi="Arial" w:cs="Arial"/>
                <w:sz w:val="20"/>
              </w:rPr>
            </w:pPr>
            <w:r w:rsidRPr="004441E4">
              <w:rPr>
                <w:rFonts w:ascii="Arial" w:hAnsi="Arial" w:cs="Arial"/>
                <w:b/>
                <w:sz w:val="20"/>
              </w:rPr>
              <w:t>3.2.6</w:t>
            </w:r>
            <w:r w:rsidRPr="004441E4">
              <w:rPr>
                <w:rFonts w:ascii="Arial" w:hAnsi="Arial" w:cs="Arial"/>
                <w:sz w:val="20"/>
              </w:rPr>
              <w:t xml:space="preserve"> </w:t>
            </w:r>
            <w:r w:rsidR="00A4708D" w:rsidRPr="004441E4">
              <w:rPr>
                <w:rFonts w:ascii="Arial" w:hAnsi="Arial" w:cs="Arial"/>
                <w:sz w:val="20"/>
              </w:rPr>
              <w:t>Reduce referrals to prescribing services purely because of OTC medicine licensing restrictions</w:t>
            </w:r>
            <w:r w:rsidRPr="004441E4">
              <w:rPr>
                <w:rFonts w:ascii="Arial" w:hAnsi="Arial" w:cs="Arial"/>
                <w:sz w:val="20"/>
              </w:rPr>
              <w:t>.</w:t>
            </w:r>
          </w:p>
          <w:p w14:paraId="4C5269FA" w14:textId="77777777" w:rsidR="00FD56F9" w:rsidRPr="004441E4" w:rsidRDefault="00FD56F9" w:rsidP="009D41AF">
            <w:pPr>
              <w:pStyle w:val="NoSpacing"/>
              <w:rPr>
                <w:rFonts w:ascii="Arial" w:hAnsi="Arial" w:cs="Arial"/>
                <w:sz w:val="20"/>
              </w:rPr>
            </w:pPr>
          </w:p>
          <w:p w14:paraId="10B88CAA" w14:textId="77777777" w:rsidR="00FD56F9" w:rsidRPr="004441E4" w:rsidRDefault="00FD56F9" w:rsidP="009D41AF">
            <w:pPr>
              <w:pStyle w:val="NoSpacing"/>
              <w:rPr>
                <w:rFonts w:ascii="Arial" w:hAnsi="Arial" w:cs="Arial"/>
                <w:sz w:val="20"/>
              </w:rPr>
            </w:pPr>
          </w:p>
          <w:p w14:paraId="12F91E5E" w14:textId="77777777" w:rsidR="00FD56F9" w:rsidRPr="004441E4" w:rsidRDefault="00FD56F9" w:rsidP="009D41AF">
            <w:pPr>
              <w:pStyle w:val="NoSpacing"/>
              <w:rPr>
                <w:rFonts w:ascii="Arial" w:hAnsi="Arial" w:cs="Arial"/>
                <w:b/>
                <w:bCs/>
                <w:sz w:val="20"/>
              </w:rPr>
            </w:pPr>
            <w:r w:rsidRPr="004441E4">
              <w:rPr>
                <w:rFonts w:ascii="Arial" w:hAnsi="Arial" w:cs="Arial"/>
                <w:b/>
                <w:bCs/>
                <w:sz w:val="20"/>
              </w:rPr>
              <w:t>3.</w:t>
            </w:r>
            <w:r w:rsidR="009D41AF" w:rsidRPr="004441E4">
              <w:rPr>
                <w:rFonts w:ascii="Arial" w:hAnsi="Arial" w:cs="Arial"/>
                <w:b/>
                <w:bCs/>
                <w:sz w:val="20"/>
              </w:rPr>
              <w:t>3</w:t>
            </w:r>
            <w:r w:rsidRPr="004441E4">
              <w:rPr>
                <w:rFonts w:ascii="Arial" w:hAnsi="Arial" w:cs="Arial"/>
                <w:b/>
                <w:bCs/>
                <w:sz w:val="20"/>
              </w:rPr>
              <w:t xml:space="preserve"> </w:t>
            </w:r>
            <w:r w:rsidR="009D41AF" w:rsidRPr="004441E4">
              <w:rPr>
                <w:rFonts w:ascii="Arial" w:hAnsi="Arial" w:cs="Arial"/>
                <w:b/>
                <w:bCs/>
                <w:sz w:val="20"/>
              </w:rPr>
              <w:t xml:space="preserve">       </w:t>
            </w:r>
            <w:r w:rsidRPr="004441E4">
              <w:rPr>
                <w:rFonts w:ascii="Arial" w:hAnsi="Arial" w:cs="Arial"/>
                <w:b/>
                <w:bCs/>
                <w:sz w:val="20"/>
              </w:rPr>
              <w:t xml:space="preserve">This service should benefit patients when: </w:t>
            </w:r>
          </w:p>
          <w:p w14:paraId="7A0EAFFF" w14:textId="77777777" w:rsidR="00FD56F9" w:rsidRPr="004441E4" w:rsidRDefault="00FD56F9" w:rsidP="009D41AF">
            <w:pPr>
              <w:pStyle w:val="NoSpacing"/>
              <w:rPr>
                <w:rFonts w:ascii="Arial" w:hAnsi="Arial" w:cs="Arial"/>
                <w:sz w:val="20"/>
              </w:rPr>
            </w:pPr>
          </w:p>
          <w:p w14:paraId="2082BE27" w14:textId="77777777" w:rsidR="00FD56F9" w:rsidRPr="004441E4" w:rsidRDefault="009D41AF" w:rsidP="009D41AF">
            <w:pPr>
              <w:pStyle w:val="NoSpacing"/>
              <w:ind w:left="720"/>
              <w:rPr>
                <w:rFonts w:ascii="Arial" w:hAnsi="Arial" w:cs="Arial"/>
                <w:sz w:val="20"/>
              </w:rPr>
            </w:pPr>
            <w:r w:rsidRPr="004441E4">
              <w:rPr>
                <w:rFonts w:ascii="Arial" w:hAnsi="Arial" w:cs="Arial"/>
                <w:b/>
                <w:sz w:val="20"/>
              </w:rPr>
              <w:t>3.3</w:t>
            </w:r>
            <w:r w:rsidR="00FD56F9" w:rsidRPr="004441E4">
              <w:rPr>
                <w:rFonts w:ascii="Arial" w:hAnsi="Arial" w:cs="Arial"/>
                <w:b/>
                <w:sz w:val="20"/>
              </w:rPr>
              <w:t>.1</w:t>
            </w:r>
            <w:r w:rsidR="00FD56F9" w:rsidRPr="004441E4">
              <w:rPr>
                <w:rFonts w:ascii="Arial" w:hAnsi="Arial" w:cs="Arial"/>
                <w:sz w:val="20"/>
              </w:rPr>
              <w:t xml:space="preserve"> The patient meets </w:t>
            </w:r>
            <w:r w:rsidR="00A4708D" w:rsidRPr="004441E4">
              <w:rPr>
                <w:rFonts w:ascii="Arial" w:hAnsi="Arial" w:cs="Arial"/>
                <w:sz w:val="20"/>
              </w:rPr>
              <w:t xml:space="preserve">the clinical criteria within the </w:t>
            </w:r>
            <w:proofErr w:type="gramStart"/>
            <w:r w:rsidR="00A4708D" w:rsidRPr="004441E4">
              <w:rPr>
                <w:rFonts w:ascii="Arial" w:hAnsi="Arial" w:cs="Arial"/>
                <w:sz w:val="20"/>
              </w:rPr>
              <w:t>PGD</w:t>
            </w:r>
            <w:proofErr w:type="gramEnd"/>
            <w:r w:rsidR="00FD56F9" w:rsidRPr="004441E4">
              <w:rPr>
                <w:rFonts w:ascii="Arial" w:hAnsi="Arial" w:cs="Arial"/>
                <w:sz w:val="20"/>
              </w:rPr>
              <w:t xml:space="preserve"> </w:t>
            </w:r>
          </w:p>
          <w:p w14:paraId="52C5A307" w14:textId="77777777" w:rsidR="00FD56F9" w:rsidRPr="004441E4" w:rsidRDefault="00FD56F9" w:rsidP="009D41AF">
            <w:pPr>
              <w:pStyle w:val="NoSpacing"/>
              <w:ind w:left="720"/>
              <w:rPr>
                <w:rFonts w:ascii="Arial" w:hAnsi="Arial" w:cs="Arial"/>
                <w:sz w:val="20"/>
              </w:rPr>
            </w:pPr>
          </w:p>
          <w:p w14:paraId="030C1A9D" w14:textId="77777777" w:rsidR="00FD56F9" w:rsidRPr="004441E4" w:rsidRDefault="00FD56F9" w:rsidP="009D41AF">
            <w:pPr>
              <w:pStyle w:val="NoSpacing"/>
              <w:ind w:left="720"/>
              <w:rPr>
                <w:rFonts w:ascii="Arial" w:hAnsi="Arial" w:cs="Arial"/>
                <w:sz w:val="20"/>
              </w:rPr>
            </w:pPr>
            <w:r w:rsidRPr="004441E4">
              <w:rPr>
                <w:rFonts w:ascii="Arial" w:hAnsi="Arial" w:cs="Arial"/>
                <w:b/>
                <w:sz w:val="20"/>
              </w:rPr>
              <w:t>3.</w:t>
            </w:r>
            <w:r w:rsidR="009D41AF" w:rsidRPr="004441E4">
              <w:rPr>
                <w:rFonts w:ascii="Arial" w:hAnsi="Arial" w:cs="Arial"/>
                <w:b/>
                <w:sz w:val="20"/>
              </w:rPr>
              <w:t>3</w:t>
            </w:r>
            <w:r w:rsidRPr="004441E4">
              <w:rPr>
                <w:rFonts w:ascii="Arial" w:hAnsi="Arial" w:cs="Arial"/>
                <w:b/>
                <w:sz w:val="20"/>
              </w:rPr>
              <w:t>.2</w:t>
            </w:r>
            <w:r w:rsidRPr="004441E4">
              <w:rPr>
                <w:rFonts w:ascii="Arial" w:hAnsi="Arial" w:cs="Arial"/>
                <w:sz w:val="20"/>
              </w:rPr>
              <w:t xml:space="preserve"> The patient </w:t>
            </w:r>
            <w:r w:rsidR="00A4708D" w:rsidRPr="004441E4">
              <w:rPr>
                <w:rFonts w:ascii="Arial" w:hAnsi="Arial" w:cs="Arial"/>
                <w:sz w:val="20"/>
              </w:rPr>
              <w:t xml:space="preserve">would otherwise need to seek a prescription for </w:t>
            </w:r>
            <w:proofErr w:type="gramStart"/>
            <w:r w:rsidR="00A4708D" w:rsidRPr="004441E4">
              <w:rPr>
                <w:rFonts w:ascii="Arial" w:hAnsi="Arial" w:cs="Arial"/>
                <w:sz w:val="20"/>
              </w:rPr>
              <w:t>treatment</w:t>
            </w:r>
            <w:proofErr w:type="gramEnd"/>
          </w:p>
          <w:p w14:paraId="0265AF10" w14:textId="77777777" w:rsidR="00540F09" w:rsidRPr="004441E4" w:rsidRDefault="00540F09" w:rsidP="009D41AF">
            <w:pPr>
              <w:pStyle w:val="NoSpacing"/>
              <w:rPr>
                <w:rFonts w:ascii="Arial" w:hAnsi="Arial" w:cs="Arial"/>
                <w:sz w:val="20"/>
              </w:rPr>
            </w:pPr>
          </w:p>
          <w:p w14:paraId="11F9AADF" w14:textId="77777777" w:rsidR="00540F09" w:rsidRPr="004441E4" w:rsidRDefault="00540F09" w:rsidP="009D41AF">
            <w:pPr>
              <w:pStyle w:val="NoSpacing"/>
              <w:rPr>
                <w:rFonts w:ascii="Arial" w:hAnsi="Arial" w:cs="Arial"/>
                <w:sz w:val="20"/>
              </w:rPr>
            </w:pPr>
          </w:p>
          <w:p w14:paraId="321CDE03" w14:textId="77777777" w:rsidR="00FD56F9" w:rsidRPr="004441E4" w:rsidRDefault="00675569" w:rsidP="009D41AF">
            <w:pPr>
              <w:pStyle w:val="NoSpacing"/>
              <w:rPr>
                <w:rFonts w:ascii="Arial" w:hAnsi="Arial" w:cs="Arial"/>
                <w:b/>
                <w:bCs/>
                <w:sz w:val="20"/>
              </w:rPr>
            </w:pPr>
            <w:r w:rsidRPr="004441E4">
              <w:rPr>
                <w:rFonts w:ascii="Arial" w:hAnsi="Arial" w:cs="Arial"/>
                <w:b/>
                <w:bCs/>
                <w:sz w:val="20"/>
              </w:rPr>
              <w:t xml:space="preserve">3.4      </w:t>
            </w:r>
            <w:r w:rsidR="00FD56F9" w:rsidRPr="004441E4">
              <w:rPr>
                <w:rFonts w:ascii="Arial" w:hAnsi="Arial" w:cs="Arial"/>
                <w:b/>
                <w:bCs/>
                <w:sz w:val="20"/>
              </w:rPr>
              <w:t xml:space="preserve">Scope of Service </w:t>
            </w:r>
          </w:p>
          <w:p w14:paraId="187DE35E" w14:textId="77777777" w:rsidR="00496B20" w:rsidRPr="004441E4" w:rsidRDefault="00496B20" w:rsidP="00496B20">
            <w:pPr>
              <w:pStyle w:val="NoSpacing"/>
              <w:rPr>
                <w:rFonts w:ascii="Arial" w:hAnsi="Arial" w:cs="Arial"/>
                <w:b/>
                <w:bCs/>
                <w:sz w:val="20"/>
              </w:rPr>
            </w:pPr>
          </w:p>
          <w:p w14:paraId="308838FC" w14:textId="77777777" w:rsidR="00392F1F" w:rsidRPr="004441E4" w:rsidRDefault="00496B20" w:rsidP="00496B20">
            <w:pPr>
              <w:pStyle w:val="NoSpacing"/>
              <w:rPr>
                <w:rFonts w:ascii="Arial" w:hAnsi="Arial" w:cs="Arial"/>
                <w:sz w:val="20"/>
              </w:rPr>
            </w:pPr>
            <w:r w:rsidRPr="004441E4">
              <w:rPr>
                <w:rFonts w:ascii="Arial" w:hAnsi="Arial" w:cs="Arial"/>
                <w:b/>
                <w:sz w:val="20"/>
              </w:rPr>
              <w:t xml:space="preserve">            </w:t>
            </w:r>
            <w:r w:rsidR="00392F1F" w:rsidRPr="004441E4">
              <w:rPr>
                <w:rFonts w:ascii="Arial" w:hAnsi="Arial" w:cs="Arial"/>
                <w:b/>
                <w:sz w:val="20"/>
              </w:rPr>
              <w:t>3.4.1</w:t>
            </w:r>
            <w:r w:rsidR="00392F1F" w:rsidRPr="004441E4">
              <w:rPr>
                <w:rFonts w:ascii="Arial" w:hAnsi="Arial" w:cs="Arial"/>
                <w:sz w:val="20"/>
              </w:rPr>
              <w:t xml:space="preserve">     The following medicines are made available through the PGD service</w:t>
            </w:r>
            <w:r w:rsidRPr="004441E4">
              <w:rPr>
                <w:rFonts w:ascii="Arial" w:hAnsi="Arial" w:cs="Arial"/>
                <w:sz w:val="20"/>
              </w:rPr>
              <w:t>.</w:t>
            </w:r>
          </w:p>
          <w:p w14:paraId="74FED8FC" w14:textId="77777777" w:rsidR="00496B20" w:rsidRPr="004441E4" w:rsidRDefault="00496B20" w:rsidP="00496B20">
            <w:pPr>
              <w:pStyle w:val="NoSpacing"/>
              <w:rPr>
                <w:rFonts w:ascii="Arial" w:hAnsi="Arial" w:cs="Arial"/>
                <w:sz w:val="20"/>
              </w:rPr>
            </w:pPr>
            <w:r w:rsidRPr="004441E4">
              <w:rPr>
                <w:rFonts w:ascii="Arial" w:hAnsi="Arial" w:cs="Arial"/>
                <w:sz w:val="20"/>
              </w:rPr>
              <w:t xml:space="preserve">                         Each PGD has specific inclusion and exclusion criteria.</w:t>
            </w:r>
          </w:p>
          <w:p w14:paraId="6FD739A6" w14:textId="36E3AE69" w:rsidR="00392F1F" w:rsidRPr="00996982" w:rsidRDefault="00392F1F" w:rsidP="00496B20">
            <w:pPr>
              <w:pStyle w:val="NoSpacing"/>
              <w:numPr>
                <w:ilvl w:val="0"/>
                <w:numId w:val="14"/>
              </w:numPr>
              <w:ind w:left="1440"/>
              <w:rPr>
                <w:rFonts w:ascii="Arial" w:hAnsi="Arial" w:cs="Arial"/>
                <w:sz w:val="20"/>
                <w:highlight w:val="yellow"/>
              </w:rPr>
            </w:pPr>
            <w:r w:rsidRPr="00996982">
              <w:rPr>
                <w:rFonts w:ascii="Arial" w:hAnsi="Arial" w:cs="Arial"/>
                <w:sz w:val="20"/>
                <w:highlight w:val="yellow"/>
              </w:rPr>
              <w:t xml:space="preserve">Chloramphenicol 1% ointment for bacterial eye infections in patients aged </w:t>
            </w:r>
            <w:r w:rsidR="00540F09" w:rsidRPr="00996982">
              <w:rPr>
                <w:rFonts w:ascii="Arial" w:hAnsi="Arial" w:cs="Arial"/>
                <w:sz w:val="20"/>
                <w:highlight w:val="yellow"/>
              </w:rPr>
              <w:t>3</w:t>
            </w:r>
            <w:r w:rsidRPr="00996982">
              <w:rPr>
                <w:rFonts w:ascii="Arial" w:hAnsi="Arial" w:cs="Arial"/>
                <w:sz w:val="20"/>
                <w:highlight w:val="yellow"/>
              </w:rPr>
              <w:t xml:space="preserve">1 </w:t>
            </w:r>
            <w:r w:rsidR="00540F09" w:rsidRPr="00996982">
              <w:rPr>
                <w:rFonts w:ascii="Arial" w:hAnsi="Arial" w:cs="Arial"/>
                <w:sz w:val="20"/>
                <w:highlight w:val="yellow"/>
              </w:rPr>
              <w:t>days</w:t>
            </w:r>
            <w:r w:rsidRPr="00996982">
              <w:rPr>
                <w:rFonts w:ascii="Arial" w:hAnsi="Arial" w:cs="Arial"/>
                <w:sz w:val="20"/>
                <w:highlight w:val="yellow"/>
              </w:rPr>
              <w:t xml:space="preserve"> to 2 years old (available to buy OTC for patients older than 2 years)</w:t>
            </w:r>
            <w:r w:rsidR="003B6F10" w:rsidRPr="00996982">
              <w:rPr>
                <w:rFonts w:ascii="Arial" w:hAnsi="Arial" w:cs="Arial"/>
                <w:sz w:val="20"/>
                <w:highlight w:val="yellow"/>
              </w:rPr>
              <w:t>.</w:t>
            </w:r>
          </w:p>
          <w:p w14:paraId="517E81A1" w14:textId="4E8FDDF5" w:rsidR="00392F1F" w:rsidRPr="00996982" w:rsidRDefault="00392F1F" w:rsidP="00496B20">
            <w:pPr>
              <w:pStyle w:val="NoSpacing"/>
              <w:numPr>
                <w:ilvl w:val="0"/>
                <w:numId w:val="14"/>
              </w:numPr>
              <w:ind w:left="1440"/>
              <w:rPr>
                <w:rFonts w:ascii="Arial" w:hAnsi="Arial" w:cs="Arial"/>
                <w:sz w:val="20"/>
                <w:highlight w:val="yellow"/>
              </w:rPr>
            </w:pPr>
            <w:r w:rsidRPr="00996982">
              <w:rPr>
                <w:rFonts w:ascii="Arial" w:hAnsi="Arial" w:cs="Arial"/>
                <w:sz w:val="20"/>
                <w:highlight w:val="yellow"/>
              </w:rPr>
              <w:t>Hydrocortisone 1% cream for use on the face (available to buy OTC for other parts of the body)</w:t>
            </w:r>
            <w:r w:rsidR="0030645B" w:rsidRPr="00996982">
              <w:rPr>
                <w:rFonts w:ascii="Arial" w:hAnsi="Arial" w:cs="Arial"/>
                <w:sz w:val="20"/>
                <w:highlight w:val="yellow"/>
              </w:rPr>
              <w:t xml:space="preserve"> and for children less than 10 years old</w:t>
            </w:r>
            <w:r w:rsidR="003B6F10" w:rsidRPr="00996982">
              <w:rPr>
                <w:rFonts w:ascii="Arial" w:hAnsi="Arial" w:cs="Arial"/>
                <w:sz w:val="20"/>
                <w:highlight w:val="yellow"/>
              </w:rPr>
              <w:t>.</w:t>
            </w:r>
          </w:p>
          <w:p w14:paraId="49F3ABA5" w14:textId="30A14BBF" w:rsidR="003B6F10" w:rsidRPr="00996982" w:rsidRDefault="003B6F10" w:rsidP="00496B20">
            <w:pPr>
              <w:pStyle w:val="NoSpacing"/>
              <w:numPr>
                <w:ilvl w:val="0"/>
                <w:numId w:val="14"/>
              </w:numPr>
              <w:ind w:left="1440"/>
              <w:rPr>
                <w:rFonts w:ascii="Arial" w:hAnsi="Arial" w:cs="Arial"/>
                <w:sz w:val="20"/>
                <w:highlight w:val="yellow"/>
              </w:rPr>
            </w:pPr>
            <w:r w:rsidRPr="00996982">
              <w:rPr>
                <w:rFonts w:ascii="Arial" w:hAnsi="Arial" w:cs="Arial"/>
                <w:sz w:val="20"/>
                <w:highlight w:val="yellow"/>
              </w:rPr>
              <w:t>Additional PGDs may be added during the lifetime of the service, if agreed with Community Pharmacy Avon &amp; Community Pharmacy Swindon &amp; Wiltshire.</w:t>
            </w:r>
          </w:p>
          <w:p w14:paraId="5BE8D3D1" w14:textId="77777777" w:rsidR="006C4E72" w:rsidRDefault="006C4E72" w:rsidP="006C4E72">
            <w:pPr>
              <w:pStyle w:val="NoSpacing"/>
              <w:ind w:left="2160"/>
              <w:rPr>
                <w:rFonts w:ascii="Arial" w:hAnsi="Arial" w:cs="Arial"/>
                <w:sz w:val="20"/>
              </w:rPr>
            </w:pPr>
          </w:p>
          <w:p w14:paraId="77DD87E1" w14:textId="77777777" w:rsidR="003B6F10" w:rsidRDefault="003B6F10" w:rsidP="006C4E72">
            <w:pPr>
              <w:pStyle w:val="NoSpacing"/>
              <w:ind w:left="2160"/>
              <w:rPr>
                <w:rFonts w:ascii="Arial" w:hAnsi="Arial" w:cs="Arial"/>
                <w:sz w:val="20"/>
              </w:rPr>
            </w:pPr>
          </w:p>
          <w:p w14:paraId="0E12D744" w14:textId="77777777" w:rsidR="00DC7DC7" w:rsidRDefault="00DC7DC7" w:rsidP="00DC7DC7">
            <w:pPr>
              <w:pStyle w:val="NoSpacing"/>
              <w:ind w:left="720"/>
              <w:rPr>
                <w:rFonts w:ascii="Arial" w:hAnsi="Arial" w:cs="Arial"/>
                <w:sz w:val="20"/>
              </w:rPr>
            </w:pPr>
            <w:r w:rsidRPr="00DC7DC7">
              <w:rPr>
                <w:rFonts w:ascii="Arial" w:hAnsi="Arial" w:cs="Arial"/>
                <w:b/>
                <w:sz w:val="20"/>
              </w:rPr>
              <w:t>3.4.2</w:t>
            </w:r>
            <w:r>
              <w:rPr>
                <w:rFonts w:ascii="Arial" w:hAnsi="Arial" w:cs="Arial"/>
                <w:sz w:val="20"/>
              </w:rPr>
              <w:t xml:space="preserve"> Treatment must</w:t>
            </w:r>
            <w:r w:rsidRPr="00DC7DC7">
              <w:rPr>
                <w:rFonts w:ascii="Arial" w:hAnsi="Arial" w:cs="Arial"/>
                <w:sz w:val="20"/>
              </w:rPr>
              <w:t xml:space="preserve"> be provided by an accredited pharmacist following </w:t>
            </w:r>
            <w:r>
              <w:rPr>
                <w:rFonts w:ascii="Arial" w:hAnsi="Arial" w:cs="Arial"/>
                <w:sz w:val="20"/>
              </w:rPr>
              <w:t xml:space="preserve">the </w:t>
            </w:r>
            <w:proofErr w:type="spellStart"/>
            <w:r w:rsidRPr="00DC7DC7">
              <w:rPr>
                <w:rFonts w:ascii="Arial" w:hAnsi="Arial" w:cs="Arial"/>
                <w:sz w:val="20"/>
              </w:rPr>
              <w:t>standardised</w:t>
            </w:r>
            <w:proofErr w:type="spellEnd"/>
            <w:r w:rsidRPr="00DC7DC7">
              <w:rPr>
                <w:rFonts w:ascii="Arial" w:hAnsi="Arial" w:cs="Arial"/>
                <w:sz w:val="20"/>
              </w:rPr>
              <w:t xml:space="preserve"> pathways and protocols. This will ensure that patients are treated to the same clinical pathway in a consistent way regardless of which healthcare professional the patient consults </w:t>
            </w:r>
            <w:proofErr w:type="gramStart"/>
            <w:r w:rsidRPr="00DC7DC7">
              <w:rPr>
                <w:rFonts w:ascii="Arial" w:hAnsi="Arial" w:cs="Arial"/>
                <w:sz w:val="20"/>
              </w:rPr>
              <w:t>with in</w:t>
            </w:r>
            <w:proofErr w:type="gramEnd"/>
            <w:r w:rsidRPr="00DC7DC7">
              <w:rPr>
                <w:rFonts w:ascii="Arial" w:hAnsi="Arial" w:cs="Arial"/>
                <w:sz w:val="20"/>
              </w:rPr>
              <w:t xml:space="preserve"> the system</w:t>
            </w:r>
            <w:r>
              <w:rPr>
                <w:rFonts w:ascii="Arial" w:hAnsi="Arial" w:cs="Arial"/>
                <w:sz w:val="20"/>
              </w:rPr>
              <w:t xml:space="preserve"> (i.e. the patient will receive the same advice and treatment whether they see their GP, an OOH prescriber or a community pharmacist).</w:t>
            </w:r>
            <w:r w:rsidRPr="00DC7DC7">
              <w:rPr>
                <w:rFonts w:ascii="Arial" w:hAnsi="Arial" w:cs="Arial"/>
                <w:sz w:val="20"/>
              </w:rPr>
              <w:t xml:space="preserve"> After every co</w:t>
            </w:r>
            <w:r>
              <w:rPr>
                <w:rFonts w:ascii="Arial" w:hAnsi="Arial" w:cs="Arial"/>
                <w:sz w:val="20"/>
              </w:rPr>
              <w:t>nsultation the pharmacist must</w:t>
            </w:r>
            <w:r w:rsidRPr="00DC7DC7">
              <w:rPr>
                <w:rFonts w:ascii="Arial" w:hAnsi="Arial" w:cs="Arial"/>
                <w:sz w:val="20"/>
              </w:rPr>
              <w:t xml:space="preserve"> give appropriate</w:t>
            </w:r>
            <w:r>
              <w:rPr>
                <w:rFonts w:ascii="Arial" w:hAnsi="Arial" w:cs="Arial"/>
                <w:sz w:val="20"/>
              </w:rPr>
              <w:t xml:space="preserve"> counselling and</w:t>
            </w:r>
            <w:r w:rsidRPr="00DC7DC7">
              <w:rPr>
                <w:rFonts w:ascii="Arial" w:hAnsi="Arial" w:cs="Arial"/>
                <w:sz w:val="20"/>
              </w:rPr>
              <w:t xml:space="preserve"> safety-netting advice.  </w:t>
            </w:r>
          </w:p>
          <w:p w14:paraId="03D8F31F" w14:textId="77777777" w:rsidR="00040E05" w:rsidRDefault="00040E05" w:rsidP="00DC7DC7">
            <w:pPr>
              <w:pStyle w:val="NoSpacing"/>
              <w:ind w:left="720"/>
              <w:rPr>
                <w:rFonts w:ascii="Arial" w:hAnsi="Arial" w:cs="Arial"/>
                <w:sz w:val="20"/>
              </w:rPr>
            </w:pPr>
          </w:p>
          <w:p w14:paraId="34F38E35" w14:textId="77777777" w:rsidR="00040E05" w:rsidRDefault="00040E05" w:rsidP="00DC7DC7">
            <w:pPr>
              <w:pStyle w:val="NoSpacing"/>
              <w:ind w:left="720"/>
              <w:rPr>
                <w:rFonts w:ascii="Arial" w:hAnsi="Arial" w:cs="Arial"/>
                <w:sz w:val="20"/>
              </w:rPr>
            </w:pPr>
            <w:r w:rsidRPr="00040E05">
              <w:rPr>
                <w:rFonts w:ascii="Arial" w:hAnsi="Arial" w:cs="Arial"/>
                <w:b/>
                <w:sz w:val="20"/>
              </w:rPr>
              <w:t>3.4.3</w:t>
            </w:r>
            <w:r>
              <w:rPr>
                <w:rFonts w:ascii="Arial" w:hAnsi="Arial" w:cs="Arial"/>
                <w:sz w:val="20"/>
              </w:rPr>
              <w:t xml:space="preserve"> Pharmacists must complete fully the PharmOutcomes template for each supply made.</w:t>
            </w:r>
            <w:r w:rsidR="00B51678">
              <w:rPr>
                <w:rFonts w:ascii="Arial" w:hAnsi="Arial" w:cs="Arial"/>
                <w:sz w:val="20"/>
              </w:rPr>
              <w:t xml:space="preserve"> A copy</w:t>
            </w:r>
            <w:r w:rsidR="00945856">
              <w:rPr>
                <w:rFonts w:ascii="Arial" w:hAnsi="Arial" w:cs="Arial"/>
                <w:sz w:val="20"/>
              </w:rPr>
              <w:t xml:space="preserve"> will be sent to the patient’s registered GP.</w:t>
            </w:r>
          </w:p>
          <w:p w14:paraId="7EA34597" w14:textId="77777777" w:rsidR="00DC7DC7" w:rsidRDefault="00DC7DC7" w:rsidP="006C4E72">
            <w:pPr>
              <w:pStyle w:val="NoSpacing"/>
              <w:ind w:left="2160"/>
              <w:rPr>
                <w:rFonts w:ascii="Arial" w:hAnsi="Arial" w:cs="Arial"/>
                <w:sz w:val="20"/>
              </w:rPr>
            </w:pPr>
          </w:p>
          <w:p w14:paraId="58B1B6DA" w14:textId="0042D1AE" w:rsidR="006C4E72" w:rsidRPr="006C4E72" w:rsidRDefault="00040E05" w:rsidP="006C4E72">
            <w:pPr>
              <w:pStyle w:val="NoSpacing"/>
              <w:ind w:left="720"/>
              <w:rPr>
                <w:rFonts w:ascii="Arial" w:hAnsi="Arial" w:cs="Arial"/>
                <w:sz w:val="20"/>
              </w:rPr>
            </w:pPr>
            <w:r>
              <w:rPr>
                <w:rFonts w:ascii="Arial" w:hAnsi="Arial" w:cs="Arial"/>
                <w:b/>
                <w:sz w:val="20"/>
              </w:rPr>
              <w:lastRenderedPageBreak/>
              <w:t>3.4.4</w:t>
            </w:r>
            <w:r w:rsidR="006C4E72" w:rsidRPr="006C4E72">
              <w:rPr>
                <w:rFonts w:ascii="Arial" w:hAnsi="Arial" w:cs="Arial"/>
                <w:sz w:val="20"/>
              </w:rPr>
              <w:t xml:space="preserve"> Any patient that is not exempt from prescription charges must be charged for each medicine that is supplied at the same rate as the current NHS prescription charge</w:t>
            </w:r>
            <w:r w:rsidR="003B6F10">
              <w:rPr>
                <w:rFonts w:ascii="Arial" w:hAnsi="Arial" w:cs="Arial"/>
                <w:sz w:val="20"/>
              </w:rPr>
              <w:t>.</w:t>
            </w:r>
            <w:r w:rsidR="006C4E72" w:rsidRPr="006C4E72">
              <w:rPr>
                <w:rFonts w:ascii="Arial" w:hAnsi="Arial" w:cs="Arial"/>
                <w:sz w:val="20"/>
              </w:rPr>
              <w:t xml:space="preserve"> </w:t>
            </w:r>
          </w:p>
          <w:p w14:paraId="34C0B2EC" w14:textId="77777777" w:rsidR="006C4E72" w:rsidRPr="006C4E72" w:rsidRDefault="006C4E72" w:rsidP="006C4E72">
            <w:pPr>
              <w:pStyle w:val="NoSpacing"/>
              <w:ind w:left="720"/>
              <w:rPr>
                <w:rFonts w:ascii="Arial" w:hAnsi="Arial" w:cs="Arial"/>
                <w:sz w:val="20"/>
              </w:rPr>
            </w:pPr>
          </w:p>
          <w:p w14:paraId="5F9CC686" w14:textId="77777777" w:rsidR="006C4E72" w:rsidRDefault="006C4E72" w:rsidP="006C4E72">
            <w:pPr>
              <w:pStyle w:val="NoSpacing"/>
              <w:ind w:left="720"/>
              <w:rPr>
                <w:rFonts w:ascii="Arial" w:hAnsi="Arial" w:cs="Arial"/>
                <w:sz w:val="20"/>
              </w:rPr>
            </w:pPr>
            <w:r w:rsidRPr="006C4E72">
              <w:rPr>
                <w:rFonts w:ascii="Arial" w:hAnsi="Arial" w:cs="Arial"/>
                <w:b/>
                <w:sz w:val="20"/>
              </w:rPr>
              <w:t>3.4.</w:t>
            </w:r>
            <w:r w:rsidR="00040E05">
              <w:rPr>
                <w:rFonts w:ascii="Arial" w:hAnsi="Arial" w:cs="Arial"/>
                <w:b/>
                <w:sz w:val="20"/>
              </w:rPr>
              <w:t>5</w:t>
            </w:r>
            <w:r w:rsidRPr="006C4E72">
              <w:rPr>
                <w:rFonts w:ascii="Arial" w:hAnsi="Arial" w:cs="Arial"/>
                <w:sz w:val="20"/>
              </w:rPr>
              <w:t xml:space="preserve"> Any patient that is exempt from NHS prescription charges must be ask</w:t>
            </w:r>
            <w:r>
              <w:rPr>
                <w:rFonts w:ascii="Arial" w:hAnsi="Arial" w:cs="Arial"/>
                <w:sz w:val="20"/>
              </w:rPr>
              <w:t>ed for proof of their exemption</w:t>
            </w:r>
            <w:r w:rsidRPr="006C4E72">
              <w:rPr>
                <w:rFonts w:ascii="Arial" w:hAnsi="Arial" w:cs="Arial"/>
                <w:sz w:val="20"/>
              </w:rPr>
              <w:t>. Proof of exemption is not mandatory, but it must be requested</w:t>
            </w:r>
            <w:r>
              <w:rPr>
                <w:rFonts w:ascii="Arial" w:hAnsi="Arial" w:cs="Arial"/>
                <w:sz w:val="20"/>
              </w:rPr>
              <w:t>. A</w:t>
            </w:r>
            <w:r w:rsidRPr="006C4E72">
              <w:rPr>
                <w:rFonts w:ascii="Arial" w:hAnsi="Arial" w:cs="Arial"/>
                <w:sz w:val="20"/>
              </w:rPr>
              <w:t xml:space="preserve"> record of the patient’s declaration of exemption from prescription charges</w:t>
            </w:r>
            <w:r>
              <w:rPr>
                <w:rFonts w:ascii="Arial" w:hAnsi="Arial" w:cs="Arial"/>
                <w:sz w:val="20"/>
              </w:rPr>
              <w:t xml:space="preserve"> should be kept</w:t>
            </w:r>
            <w:r w:rsidRPr="006C4E72">
              <w:rPr>
                <w:rFonts w:ascii="Arial" w:hAnsi="Arial" w:cs="Arial"/>
                <w:sz w:val="20"/>
              </w:rPr>
              <w:t xml:space="preserve"> in PharmOutcomes</w:t>
            </w:r>
            <w:r>
              <w:rPr>
                <w:rFonts w:ascii="Arial" w:hAnsi="Arial" w:cs="Arial"/>
                <w:sz w:val="20"/>
              </w:rPr>
              <w:t>.</w:t>
            </w:r>
          </w:p>
          <w:p w14:paraId="1C78E4C3" w14:textId="77777777" w:rsidR="006C4E72" w:rsidRDefault="006C4E72" w:rsidP="006C4E72">
            <w:pPr>
              <w:pStyle w:val="NoSpacing"/>
              <w:ind w:left="720"/>
              <w:rPr>
                <w:rFonts w:ascii="Arial" w:hAnsi="Arial" w:cs="Arial"/>
                <w:sz w:val="20"/>
              </w:rPr>
            </w:pPr>
          </w:p>
          <w:p w14:paraId="64ECDDC3" w14:textId="77777777" w:rsidR="006C4E72" w:rsidRDefault="00DC7DC7" w:rsidP="006C4E72">
            <w:pPr>
              <w:pStyle w:val="NoSpacing"/>
              <w:ind w:left="720"/>
              <w:rPr>
                <w:rFonts w:ascii="Arial" w:hAnsi="Arial" w:cs="Arial"/>
                <w:sz w:val="20"/>
              </w:rPr>
            </w:pPr>
            <w:r>
              <w:rPr>
                <w:rFonts w:ascii="Arial" w:hAnsi="Arial" w:cs="Arial"/>
                <w:b/>
                <w:sz w:val="20"/>
              </w:rPr>
              <w:t>3.4.</w:t>
            </w:r>
            <w:r w:rsidR="00040E05">
              <w:rPr>
                <w:rFonts w:ascii="Arial" w:hAnsi="Arial" w:cs="Arial"/>
                <w:b/>
                <w:sz w:val="20"/>
              </w:rPr>
              <w:t>6</w:t>
            </w:r>
            <w:r w:rsidR="006C4E72" w:rsidRPr="006C4E72">
              <w:rPr>
                <w:rFonts w:ascii="Arial" w:hAnsi="Arial" w:cs="Arial"/>
                <w:sz w:val="20"/>
              </w:rPr>
              <w:t xml:space="preserve"> Pharmacy staff will submit a claim to </w:t>
            </w:r>
            <w:r w:rsidR="00BD70C0">
              <w:rPr>
                <w:rFonts w:ascii="Arial" w:hAnsi="Arial" w:cs="Arial"/>
                <w:sz w:val="20"/>
              </w:rPr>
              <w:t>the commissioner</w:t>
            </w:r>
            <w:r w:rsidR="006C4E72" w:rsidRPr="006C4E72">
              <w:rPr>
                <w:rFonts w:ascii="Arial" w:hAnsi="Arial" w:cs="Arial"/>
                <w:sz w:val="20"/>
              </w:rPr>
              <w:t xml:space="preserve"> via PharmOutcomes</w:t>
            </w:r>
            <w:r w:rsidR="00641045">
              <w:rPr>
                <w:rFonts w:ascii="Arial" w:hAnsi="Arial" w:cs="Arial"/>
                <w:sz w:val="20"/>
              </w:rPr>
              <w:t xml:space="preserve"> on a monthly basis</w:t>
            </w:r>
            <w:r w:rsidR="006C4E72" w:rsidRPr="006C4E72">
              <w:rPr>
                <w:rFonts w:ascii="Arial" w:hAnsi="Arial" w:cs="Arial"/>
                <w:sz w:val="20"/>
              </w:rPr>
              <w:t xml:space="preserve"> so that we can reimburse medication </w:t>
            </w:r>
            <w:proofErr w:type="gramStart"/>
            <w:r w:rsidR="006C4E72" w:rsidRPr="006C4E72">
              <w:rPr>
                <w:rFonts w:ascii="Arial" w:hAnsi="Arial" w:cs="Arial"/>
                <w:sz w:val="20"/>
              </w:rPr>
              <w:t>costs, and</w:t>
            </w:r>
            <w:proofErr w:type="gramEnd"/>
            <w:r w:rsidR="006C4E72" w:rsidRPr="006C4E72">
              <w:rPr>
                <w:rFonts w:ascii="Arial" w:hAnsi="Arial" w:cs="Arial"/>
                <w:sz w:val="20"/>
              </w:rPr>
              <w:t xml:space="preserve"> provide remuneration for the service</w:t>
            </w:r>
            <w:r w:rsidR="006C4E72">
              <w:rPr>
                <w:rFonts w:ascii="Arial" w:hAnsi="Arial" w:cs="Arial"/>
                <w:sz w:val="20"/>
              </w:rPr>
              <w:t>.</w:t>
            </w:r>
          </w:p>
          <w:p w14:paraId="6E046245" w14:textId="77777777" w:rsidR="00DC7DC7" w:rsidRDefault="00DC7DC7" w:rsidP="006C4E72">
            <w:pPr>
              <w:pStyle w:val="NoSpacing"/>
              <w:ind w:left="720"/>
              <w:rPr>
                <w:rFonts w:ascii="Arial" w:hAnsi="Arial" w:cs="Arial"/>
                <w:sz w:val="20"/>
              </w:rPr>
            </w:pPr>
          </w:p>
          <w:p w14:paraId="393AE881" w14:textId="1E72B33D" w:rsidR="00DC7DC7" w:rsidRDefault="00DC7DC7" w:rsidP="006C4E72">
            <w:pPr>
              <w:pStyle w:val="NoSpacing"/>
              <w:ind w:left="720"/>
              <w:rPr>
                <w:rFonts w:ascii="Arial" w:hAnsi="Arial" w:cs="Arial"/>
                <w:sz w:val="20"/>
              </w:rPr>
            </w:pPr>
            <w:r w:rsidRPr="00DC7DC7">
              <w:rPr>
                <w:rFonts w:ascii="Arial" w:hAnsi="Arial" w:cs="Arial"/>
                <w:b/>
                <w:sz w:val="20"/>
              </w:rPr>
              <w:t>3.4.</w:t>
            </w:r>
            <w:r w:rsidR="00040E05">
              <w:rPr>
                <w:rFonts w:ascii="Arial" w:hAnsi="Arial" w:cs="Arial"/>
                <w:b/>
                <w:sz w:val="20"/>
              </w:rPr>
              <w:t>7</w:t>
            </w:r>
            <w:r>
              <w:rPr>
                <w:rFonts w:ascii="Arial" w:hAnsi="Arial" w:cs="Arial"/>
                <w:sz w:val="20"/>
              </w:rPr>
              <w:t xml:space="preserve"> </w:t>
            </w:r>
            <w:r w:rsidRPr="00DC7DC7">
              <w:rPr>
                <w:rFonts w:ascii="Arial" w:hAnsi="Arial" w:cs="Arial"/>
                <w:sz w:val="20"/>
              </w:rPr>
              <w:t>If pharmacists are unable to treat the patient i</w:t>
            </w:r>
            <w:r>
              <w:rPr>
                <w:rFonts w:ascii="Arial" w:hAnsi="Arial" w:cs="Arial"/>
                <w:sz w:val="20"/>
              </w:rPr>
              <w:t xml:space="preserve">n community </w:t>
            </w:r>
            <w:proofErr w:type="gramStart"/>
            <w:r>
              <w:rPr>
                <w:rFonts w:ascii="Arial" w:hAnsi="Arial" w:cs="Arial"/>
                <w:sz w:val="20"/>
              </w:rPr>
              <w:t>pharmacy</w:t>
            </w:r>
            <w:proofErr w:type="gramEnd"/>
            <w:r>
              <w:rPr>
                <w:rFonts w:ascii="Arial" w:hAnsi="Arial" w:cs="Arial"/>
                <w:sz w:val="20"/>
              </w:rPr>
              <w:t xml:space="preserve"> then they sh</w:t>
            </w:r>
            <w:r w:rsidRPr="00DC7DC7">
              <w:rPr>
                <w:rFonts w:ascii="Arial" w:hAnsi="Arial" w:cs="Arial"/>
                <w:sz w:val="20"/>
              </w:rPr>
              <w:t>ould refer the patien</w:t>
            </w:r>
            <w:r>
              <w:rPr>
                <w:rFonts w:ascii="Arial" w:hAnsi="Arial" w:cs="Arial"/>
                <w:sz w:val="20"/>
              </w:rPr>
              <w:t>t to another part of the system a</w:t>
            </w:r>
            <w:r w:rsidR="008C2619">
              <w:rPr>
                <w:rFonts w:ascii="Arial" w:hAnsi="Arial" w:cs="Arial"/>
                <w:sz w:val="20"/>
              </w:rPr>
              <w:t>nd support the patient to make</w:t>
            </w:r>
            <w:r>
              <w:rPr>
                <w:rFonts w:ascii="Arial" w:hAnsi="Arial" w:cs="Arial"/>
                <w:sz w:val="20"/>
              </w:rPr>
              <w:t xml:space="preserve"> an appropriate appointment</w:t>
            </w:r>
            <w:r w:rsidR="003B6F10">
              <w:rPr>
                <w:rFonts w:ascii="Arial" w:hAnsi="Arial" w:cs="Arial"/>
                <w:sz w:val="20"/>
              </w:rPr>
              <w:t>.</w:t>
            </w:r>
          </w:p>
          <w:p w14:paraId="23F66505" w14:textId="77777777" w:rsidR="008D5A13" w:rsidRDefault="008D5A13" w:rsidP="006C4E72">
            <w:pPr>
              <w:pStyle w:val="NoSpacing"/>
              <w:ind w:left="720"/>
              <w:rPr>
                <w:rFonts w:ascii="Arial" w:hAnsi="Arial" w:cs="Arial"/>
                <w:sz w:val="20"/>
              </w:rPr>
            </w:pPr>
          </w:p>
          <w:p w14:paraId="3E8E4795" w14:textId="3152F963" w:rsidR="008D5A13" w:rsidRPr="008D5A13" w:rsidRDefault="00040E05" w:rsidP="008D5A13">
            <w:pPr>
              <w:pStyle w:val="NoSpacing"/>
              <w:ind w:left="720"/>
              <w:rPr>
                <w:rFonts w:ascii="Arial" w:hAnsi="Arial" w:cs="Arial"/>
                <w:sz w:val="20"/>
              </w:rPr>
            </w:pPr>
            <w:r>
              <w:rPr>
                <w:rFonts w:ascii="Arial" w:hAnsi="Arial" w:cs="Arial"/>
                <w:b/>
                <w:sz w:val="20"/>
              </w:rPr>
              <w:t>3.4.8</w:t>
            </w:r>
            <w:r w:rsidR="008D5A13">
              <w:rPr>
                <w:rFonts w:ascii="Arial" w:hAnsi="Arial" w:cs="Arial"/>
                <w:sz w:val="20"/>
              </w:rPr>
              <w:t xml:space="preserve"> </w:t>
            </w:r>
            <w:r w:rsidR="008D5A13" w:rsidRPr="008D5A13">
              <w:rPr>
                <w:rFonts w:ascii="Arial" w:hAnsi="Arial" w:cs="Arial"/>
                <w:sz w:val="20"/>
              </w:rPr>
              <w:t xml:space="preserve">Pharmacists should highlight patients repeatedly accessing the service to their general practice </w:t>
            </w:r>
            <w:r w:rsidR="004F70ED">
              <w:rPr>
                <w:rFonts w:ascii="Arial" w:hAnsi="Arial" w:cs="Arial"/>
                <w:sz w:val="20"/>
              </w:rPr>
              <w:t>for review</w:t>
            </w:r>
            <w:r w:rsidR="003B6F10">
              <w:rPr>
                <w:rFonts w:ascii="Arial" w:hAnsi="Arial" w:cs="Arial"/>
                <w:sz w:val="20"/>
              </w:rPr>
              <w:t>.</w:t>
            </w:r>
          </w:p>
          <w:p w14:paraId="735D0601" w14:textId="77777777" w:rsidR="008D5A13" w:rsidRPr="008D5A13" w:rsidRDefault="008D5A13" w:rsidP="008D5A13">
            <w:pPr>
              <w:pStyle w:val="NoSpacing"/>
              <w:ind w:left="720"/>
              <w:rPr>
                <w:rFonts w:ascii="Arial" w:hAnsi="Arial" w:cs="Arial"/>
                <w:sz w:val="20"/>
              </w:rPr>
            </w:pPr>
          </w:p>
          <w:p w14:paraId="52BC3D43" w14:textId="533A43FD" w:rsidR="008D5A13" w:rsidRDefault="00040E05" w:rsidP="008D5A13">
            <w:pPr>
              <w:pStyle w:val="NoSpacing"/>
              <w:ind w:left="720"/>
              <w:rPr>
                <w:rFonts w:ascii="Arial" w:hAnsi="Arial" w:cs="Arial"/>
                <w:sz w:val="20"/>
              </w:rPr>
            </w:pPr>
            <w:r>
              <w:rPr>
                <w:rFonts w:ascii="Arial" w:hAnsi="Arial" w:cs="Arial"/>
                <w:b/>
                <w:sz w:val="20"/>
              </w:rPr>
              <w:t>3.4.9</w:t>
            </w:r>
            <w:r w:rsidR="008D5A13" w:rsidRPr="008D5A13">
              <w:rPr>
                <w:rFonts w:ascii="Arial" w:hAnsi="Arial" w:cs="Arial"/>
                <w:sz w:val="20"/>
              </w:rPr>
              <w:t xml:space="preserve"> Pharma</w:t>
            </w:r>
            <w:r w:rsidR="00641045">
              <w:rPr>
                <w:rFonts w:ascii="Arial" w:hAnsi="Arial" w:cs="Arial"/>
                <w:sz w:val="20"/>
              </w:rPr>
              <w:t>cists are reminded that they should</w:t>
            </w:r>
            <w:r w:rsidR="008D5A13" w:rsidRPr="008D5A13">
              <w:rPr>
                <w:rFonts w:ascii="Arial" w:hAnsi="Arial" w:cs="Arial"/>
                <w:sz w:val="20"/>
              </w:rPr>
              <w:t xml:space="preserve"> access the Summary Care Record </w:t>
            </w:r>
            <w:proofErr w:type="gramStart"/>
            <w:r w:rsidR="008D5A13" w:rsidRPr="008D5A13">
              <w:rPr>
                <w:rFonts w:ascii="Arial" w:hAnsi="Arial" w:cs="Arial"/>
                <w:sz w:val="20"/>
              </w:rPr>
              <w:t>in order to</w:t>
            </w:r>
            <w:proofErr w:type="gramEnd"/>
            <w:r w:rsidR="008D5A13" w:rsidRPr="008D5A13">
              <w:rPr>
                <w:rFonts w:ascii="Arial" w:hAnsi="Arial" w:cs="Arial"/>
                <w:sz w:val="20"/>
              </w:rPr>
              <w:t xml:space="preserve"> confirm the current prescription, allergies </w:t>
            </w:r>
            <w:proofErr w:type="spellStart"/>
            <w:r w:rsidR="008D5A13" w:rsidRPr="008D5A13">
              <w:rPr>
                <w:rFonts w:ascii="Arial" w:hAnsi="Arial" w:cs="Arial"/>
                <w:sz w:val="20"/>
              </w:rPr>
              <w:t>etc</w:t>
            </w:r>
            <w:proofErr w:type="spellEnd"/>
            <w:r w:rsidR="008D5A13" w:rsidRPr="008D5A13">
              <w:rPr>
                <w:rFonts w:ascii="Arial" w:hAnsi="Arial" w:cs="Arial"/>
                <w:sz w:val="20"/>
              </w:rPr>
              <w:t xml:space="preserve"> for a patient.</w:t>
            </w:r>
          </w:p>
          <w:p w14:paraId="1A871892" w14:textId="77777777" w:rsidR="008D5A13" w:rsidRPr="009D41AF" w:rsidRDefault="008D5A13" w:rsidP="006C4E72">
            <w:pPr>
              <w:pStyle w:val="NoSpacing"/>
              <w:ind w:left="720"/>
              <w:rPr>
                <w:rFonts w:ascii="Arial" w:hAnsi="Arial" w:cs="Arial"/>
                <w:sz w:val="20"/>
              </w:rPr>
            </w:pPr>
          </w:p>
          <w:p w14:paraId="4BC65BBA" w14:textId="77777777" w:rsidR="00FD56F9" w:rsidRDefault="00FD56F9" w:rsidP="009D41AF">
            <w:pPr>
              <w:pStyle w:val="NoSpacing"/>
              <w:rPr>
                <w:rFonts w:ascii="Arial" w:hAnsi="Arial" w:cs="Arial"/>
                <w:sz w:val="20"/>
              </w:rPr>
            </w:pPr>
          </w:p>
          <w:p w14:paraId="13B9BB60" w14:textId="77777777" w:rsidR="00496B20" w:rsidRDefault="006C4E72" w:rsidP="009D41AF">
            <w:pPr>
              <w:pStyle w:val="NoSpacing"/>
              <w:rPr>
                <w:rFonts w:ascii="Arial" w:hAnsi="Arial" w:cs="Arial"/>
                <w:b/>
                <w:sz w:val="20"/>
              </w:rPr>
            </w:pPr>
            <w:r>
              <w:rPr>
                <w:rFonts w:ascii="Arial" w:hAnsi="Arial" w:cs="Arial"/>
                <w:b/>
                <w:sz w:val="20"/>
              </w:rPr>
              <w:t>3.5</w:t>
            </w:r>
            <w:r w:rsidR="00675569">
              <w:rPr>
                <w:rFonts w:ascii="Arial" w:hAnsi="Arial" w:cs="Arial"/>
                <w:b/>
                <w:sz w:val="20"/>
              </w:rPr>
              <w:t xml:space="preserve">     </w:t>
            </w:r>
            <w:r w:rsidR="00496B20" w:rsidRPr="00496B20">
              <w:rPr>
                <w:rFonts w:ascii="Arial" w:hAnsi="Arial" w:cs="Arial"/>
                <w:b/>
                <w:sz w:val="20"/>
              </w:rPr>
              <w:t>Pharmacy &amp; Pharmacist Accreditation</w:t>
            </w:r>
          </w:p>
          <w:p w14:paraId="57560C51" w14:textId="77777777" w:rsidR="00896CDC" w:rsidRDefault="00896CDC" w:rsidP="009D41AF">
            <w:pPr>
              <w:pStyle w:val="NoSpacing"/>
              <w:rPr>
                <w:rFonts w:ascii="Arial" w:hAnsi="Arial" w:cs="Arial"/>
                <w:b/>
                <w:sz w:val="20"/>
              </w:rPr>
            </w:pPr>
          </w:p>
          <w:p w14:paraId="1B237358" w14:textId="77777777" w:rsidR="00FD56F9" w:rsidRDefault="00B07C41" w:rsidP="00896CDC">
            <w:pPr>
              <w:pStyle w:val="NoSpacing"/>
              <w:ind w:left="720"/>
              <w:rPr>
                <w:rFonts w:ascii="Arial" w:hAnsi="Arial" w:cs="Arial"/>
                <w:sz w:val="20"/>
              </w:rPr>
            </w:pPr>
            <w:r>
              <w:rPr>
                <w:rFonts w:ascii="Arial" w:hAnsi="Arial" w:cs="Arial"/>
                <w:b/>
                <w:sz w:val="20"/>
              </w:rPr>
              <w:t>3.5.</w:t>
            </w:r>
            <w:r w:rsidR="00896CDC">
              <w:rPr>
                <w:rFonts w:ascii="Arial" w:hAnsi="Arial" w:cs="Arial"/>
                <w:b/>
                <w:sz w:val="20"/>
              </w:rPr>
              <w:t>1</w:t>
            </w:r>
            <w:r w:rsidR="00FD56F9" w:rsidRPr="009D41AF">
              <w:rPr>
                <w:rFonts w:ascii="Arial" w:hAnsi="Arial" w:cs="Arial"/>
                <w:sz w:val="20"/>
              </w:rPr>
              <w:t xml:space="preserve"> If a pharmacy </w:t>
            </w:r>
            <w:r w:rsidR="001B1E68">
              <w:rPr>
                <w:rFonts w:ascii="Arial" w:hAnsi="Arial" w:cs="Arial"/>
                <w:sz w:val="20"/>
              </w:rPr>
              <w:t>provider</w:t>
            </w:r>
            <w:r w:rsidR="00FD56F9" w:rsidRPr="009D41AF">
              <w:rPr>
                <w:rFonts w:ascii="Arial" w:hAnsi="Arial" w:cs="Arial"/>
                <w:sz w:val="20"/>
              </w:rPr>
              <w:t xml:space="preserve"> agrees to provide this service, they must ensure that all </w:t>
            </w:r>
            <w:r w:rsidR="00410285">
              <w:rPr>
                <w:rFonts w:ascii="Arial" w:hAnsi="Arial" w:cs="Arial"/>
                <w:sz w:val="20"/>
              </w:rPr>
              <w:t xml:space="preserve">the </w:t>
            </w:r>
            <w:r w:rsidR="00FD56F9" w:rsidRPr="009D41AF">
              <w:rPr>
                <w:rFonts w:ascii="Arial" w:hAnsi="Arial" w:cs="Arial"/>
                <w:sz w:val="20"/>
              </w:rPr>
              <w:t>staff working in the pharmacy</w:t>
            </w:r>
            <w:r w:rsidR="00410285">
              <w:rPr>
                <w:rFonts w:ascii="Arial" w:hAnsi="Arial" w:cs="Arial"/>
                <w:sz w:val="20"/>
              </w:rPr>
              <w:t xml:space="preserve"> (including locums)</w:t>
            </w:r>
            <w:r w:rsidR="00FD56F9" w:rsidRPr="009D41AF">
              <w:rPr>
                <w:rFonts w:ascii="Arial" w:hAnsi="Arial" w:cs="Arial"/>
                <w:sz w:val="20"/>
              </w:rPr>
              <w:t xml:space="preserve"> </w:t>
            </w:r>
            <w:r w:rsidR="005A36A2">
              <w:rPr>
                <w:rFonts w:ascii="Arial" w:hAnsi="Arial" w:cs="Arial"/>
                <w:sz w:val="20"/>
              </w:rPr>
              <w:t>are</w:t>
            </w:r>
            <w:r w:rsidR="00FD56F9" w:rsidRPr="009D41AF">
              <w:rPr>
                <w:rFonts w:ascii="Arial" w:hAnsi="Arial" w:cs="Arial"/>
                <w:sz w:val="20"/>
              </w:rPr>
              <w:t xml:space="preserve"> aware that they will be participating, and how to participate</w:t>
            </w:r>
            <w:r w:rsidR="0023386A" w:rsidRPr="009D41AF">
              <w:rPr>
                <w:rFonts w:ascii="Arial" w:hAnsi="Arial" w:cs="Arial"/>
                <w:sz w:val="20"/>
              </w:rPr>
              <w:t>.</w:t>
            </w:r>
            <w:r w:rsidR="00FD56F9" w:rsidRPr="009D41AF">
              <w:rPr>
                <w:rFonts w:ascii="Arial" w:hAnsi="Arial" w:cs="Arial"/>
                <w:sz w:val="20"/>
              </w:rPr>
              <w:t xml:space="preserve"> </w:t>
            </w:r>
          </w:p>
          <w:p w14:paraId="3A0CAA5F" w14:textId="77777777" w:rsidR="00896CDC" w:rsidRDefault="00896CDC" w:rsidP="00896CDC">
            <w:pPr>
              <w:pStyle w:val="NoSpacing"/>
              <w:ind w:left="720"/>
              <w:rPr>
                <w:rFonts w:ascii="Arial" w:hAnsi="Arial" w:cs="Arial"/>
                <w:sz w:val="20"/>
              </w:rPr>
            </w:pPr>
          </w:p>
          <w:p w14:paraId="12F0C938" w14:textId="77777777" w:rsidR="00896CDC" w:rsidRDefault="00B07C41" w:rsidP="00896CDC">
            <w:pPr>
              <w:pStyle w:val="NoSpacing"/>
              <w:ind w:left="720"/>
              <w:rPr>
                <w:rFonts w:ascii="Arial" w:hAnsi="Arial" w:cs="Arial"/>
                <w:sz w:val="20"/>
              </w:rPr>
            </w:pPr>
            <w:r>
              <w:rPr>
                <w:rFonts w:ascii="Arial" w:hAnsi="Arial" w:cs="Arial"/>
                <w:b/>
                <w:sz w:val="20"/>
              </w:rPr>
              <w:t>3.5</w:t>
            </w:r>
            <w:r w:rsidR="00896CDC" w:rsidRPr="00896CDC">
              <w:rPr>
                <w:rFonts w:ascii="Arial" w:hAnsi="Arial" w:cs="Arial"/>
                <w:b/>
                <w:sz w:val="20"/>
              </w:rPr>
              <w:t>.2</w:t>
            </w:r>
            <w:r w:rsidR="00896CDC">
              <w:rPr>
                <w:rFonts w:ascii="Arial" w:hAnsi="Arial" w:cs="Arial"/>
                <w:b/>
                <w:sz w:val="20"/>
              </w:rPr>
              <w:t xml:space="preserve"> </w:t>
            </w:r>
            <w:r w:rsidR="00896CDC" w:rsidRPr="00896CDC">
              <w:rPr>
                <w:rFonts w:ascii="Arial" w:hAnsi="Arial" w:cs="Arial"/>
                <w:sz w:val="20"/>
              </w:rPr>
              <w:t xml:space="preserve">A pharmacist representative from the pharmacy must attend training and cascade to the other staff </w:t>
            </w:r>
            <w:r w:rsidR="00410285">
              <w:rPr>
                <w:rFonts w:ascii="Arial" w:hAnsi="Arial" w:cs="Arial"/>
                <w:sz w:val="20"/>
              </w:rPr>
              <w:t xml:space="preserve">(including locums) </w:t>
            </w:r>
            <w:r w:rsidR="00896CDC" w:rsidRPr="00896CDC">
              <w:rPr>
                <w:rFonts w:ascii="Arial" w:hAnsi="Arial" w:cs="Arial"/>
                <w:sz w:val="20"/>
              </w:rPr>
              <w:t>within the pharmacy</w:t>
            </w:r>
            <w:r w:rsidR="00896CDC">
              <w:rPr>
                <w:rFonts w:ascii="Arial" w:hAnsi="Arial" w:cs="Arial"/>
                <w:sz w:val="20"/>
              </w:rPr>
              <w:t>.</w:t>
            </w:r>
            <w:r w:rsidR="00641045">
              <w:rPr>
                <w:rFonts w:ascii="Arial" w:hAnsi="Arial" w:cs="Arial"/>
                <w:sz w:val="20"/>
              </w:rPr>
              <w:t xml:space="preserve"> </w:t>
            </w:r>
            <w:r w:rsidR="00BD70C0">
              <w:rPr>
                <w:rFonts w:ascii="Arial" w:hAnsi="Arial" w:cs="Arial"/>
                <w:sz w:val="20"/>
              </w:rPr>
              <w:t xml:space="preserve">This training is available </w:t>
            </w:r>
            <w:r w:rsidR="00BD70C0" w:rsidRPr="00996982">
              <w:rPr>
                <w:rFonts w:ascii="Arial" w:hAnsi="Arial" w:cs="Arial"/>
                <w:sz w:val="20"/>
              </w:rPr>
              <w:t>online via Avon LPC (</w:t>
            </w:r>
            <w:hyperlink r:id="rId8" w:history="1">
              <w:r w:rsidR="00BD70C0" w:rsidRPr="00996982">
                <w:rPr>
                  <w:rStyle w:val="Hyperlink"/>
                  <w:rFonts w:ascii="Arial" w:hAnsi="Arial" w:cs="Arial"/>
                  <w:color w:val="auto"/>
                  <w:sz w:val="20"/>
                </w:rPr>
                <w:t>https://psnc.org.uk/avon-lpc/our-area/bnssg-ccg/bnssg-pgds/</w:t>
              </w:r>
            </w:hyperlink>
            <w:r w:rsidR="00BD70C0" w:rsidRPr="00996982">
              <w:rPr>
                <w:rFonts w:ascii="Arial" w:hAnsi="Arial" w:cs="Arial"/>
                <w:sz w:val="20"/>
              </w:rPr>
              <w:t>).</w:t>
            </w:r>
            <w:r w:rsidR="00DB524B" w:rsidRPr="00996982">
              <w:rPr>
                <w:rFonts w:ascii="Arial" w:hAnsi="Arial" w:cs="Arial"/>
                <w:sz w:val="20"/>
              </w:rPr>
              <w:t xml:space="preserve"> </w:t>
            </w:r>
            <w:r w:rsidR="00641045">
              <w:rPr>
                <w:rFonts w:ascii="Arial" w:hAnsi="Arial" w:cs="Arial"/>
                <w:sz w:val="20"/>
              </w:rPr>
              <w:t xml:space="preserve">The </w:t>
            </w:r>
            <w:r w:rsidR="00BD70C0">
              <w:rPr>
                <w:rFonts w:ascii="Arial" w:hAnsi="Arial" w:cs="Arial"/>
                <w:sz w:val="20"/>
              </w:rPr>
              <w:t xml:space="preserve">training </w:t>
            </w:r>
            <w:r w:rsidR="00540F09">
              <w:rPr>
                <w:rFonts w:ascii="Arial" w:hAnsi="Arial" w:cs="Arial"/>
                <w:sz w:val="20"/>
              </w:rPr>
              <w:t>introduce</w:t>
            </w:r>
            <w:r w:rsidR="00BD70C0">
              <w:rPr>
                <w:rFonts w:ascii="Arial" w:hAnsi="Arial" w:cs="Arial"/>
                <w:sz w:val="20"/>
              </w:rPr>
              <w:t>s</w:t>
            </w:r>
            <w:r w:rsidR="00540F09">
              <w:rPr>
                <w:rFonts w:ascii="Arial" w:hAnsi="Arial" w:cs="Arial"/>
                <w:sz w:val="20"/>
              </w:rPr>
              <w:t xml:space="preserve"> the clinical content of the PGDs </w:t>
            </w:r>
            <w:proofErr w:type="gramStart"/>
            <w:r w:rsidR="00540F09">
              <w:rPr>
                <w:rFonts w:ascii="Arial" w:hAnsi="Arial" w:cs="Arial"/>
                <w:sz w:val="20"/>
              </w:rPr>
              <w:t>and also</w:t>
            </w:r>
            <w:proofErr w:type="gramEnd"/>
            <w:r w:rsidR="00540F09">
              <w:rPr>
                <w:rFonts w:ascii="Arial" w:hAnsi="Arial" w:cs="Arial"/>
                <w:sz w:val="20"/>
              </w:rPr>
              <w:t xml:space="preserve"> cover</w:t>
            </w:r>
            <w:r w:rsidR="00BD70C0">
              <w:rPr>
                <w:rFonts w:ascii="Arial" w:hAnsi="Arial" w:cs="Arial"/>
                <w:sz w:val="20"/>
              </w:rPr>
              <w:t>s</w:t>
            </w:r>
            <w:r w:rsidR="00540F09">
              <w:rPr>
                <w:rFonts w:ascii="Arial" w:hAnsi="Arial" w:cs="Arial"/>
                <w:sz w:val="20"/>
              </w:rPr>
              <w:t xml:space="preserve"> Shared Decision Making and</w:t>
            </w:r>
            <w:r w:rsidR="00641045">
              <w:rPr>
                <w:rFonts w:ascii="Arial" w:hAnsi="Arial" w:cs="Arial"/>
                <w:sz w:val="20"/>
              </w:rPr>
              <w:t xml:space="preserve"> Antimicrobial Stewardship, </w:t>
            </w:r>
          </w:p>
          <w:p w14:paraId="3A64207E" w14:textId="77777777" w:rsidR="00641045" w:rsidRDefault="00641045" w:rsidP="00896CDC">
            <w:pPr>
              <w:pStyle w:val="NoSpacing"/>
              <w:ind w:left="720"/>
              <w:rPr>
                <w:rFonts w:ascii="Arial" w:hAnsi="Arial" w:cs="Arial"/>
                <w:b/>
                <w:sz w:val="20"/>
              </w:rPr>
            </w:pPr>
          </w:p>
          <w:p w14:paraId="2E3F4FA0" w14:textId="77777777" w:rsidR="00896CDC" w:rsidRPr="00896CDC" w:rsidRDefault="00B07C41" w:rsidP="00410285">
            <w:pPr>
              <w:pStyle w:val="NoSpacing"/>
              <w:ind w:left="720"/>
              <w:rPr>
                <w:rFonts w:ascii="Arial" w:hAnsi="Arial" w:cs="Arial"/>
                <w:b/>
                <w:sz w:val="20"/>
              </w:rPr>
            </w:pPr>
            <w:r>
              <w:rPr>
                <w:rFonts w:ascii="Arial" w:hAnsi="Arial" w:cs="Arial"/>
                <w:b/>
                <w:sz w:val="20"/>
              </w:rPr>
              <w:t>3.5</w:t>
            </w:r>
            <w:r w:rsidR="00896CDC">
              <w:rPr>
                <w:rFonts w:ascii="Arial" w:hAnsi="Arial" w:cs="Arial"/>
                <w:b/>
                <w:sz w:val="20"/>
              </w:rPr>
              <w:t xml:space="preserve">.3 </w:t>
            </w:r>
            <w:r w:rsidR="00896CDC" w:rsidRPr="00896CDC">
              <w:rPr>
                <w:rFonts w:ascii="Arial" w:hAnsi="Arial" w:cs="Arial"/>
                <w:sz w:val="20"/>
              </w:rPr>
              <w:t xml:space="preserve">All </w:t>
            </w:r>
            <w:r w:rsidR="00410285">
              <w:rPr>
                <w:rFonts w:ascii="Arial" w:hAnsi="Arial" w:cs="Arial"/>
                <w:sz w:val="20"/>
              </w:rPr>
              <w:t xml:space="preserve">pharmacies and </w:t>
            </w:r>
            <w:r w:rsidR="00896CDC" w:rsidRPr="00896CDC">
              <w:rPr>
                <w:rFonts w:ascii="Arial" w:hAnsi="Arial" w:cs="Arial"/>
                <w:sz w:val="20"/>
              </w:rPr>
              <w:t>pharmacists delivering the service</w:t>
            </w:r>
            <w:r w:rsidR="006C4E72">
              <w:rPr>
                <w:rFonts w:ascii="Arial" w:hAnsi="Arial" w:cs="Arial"/>
                <w:sz w:val="20"/>
              </w:rPr>
              <w:t xml:space="preserve"> (including locums)</w:t>
            </w:r>
            <w:r w:rsidR="00896CDC" w:rsidRPr="00896CDC">
              <w:rPr>
                <w:rFonts w:ascii="Arial" w:hAnsi="Arial" w:cs="Arial"/>
                <w:sz w:val="20"/>
              </w:rPr>
              <w:t xml:space="preserve"> are required to complete the Declaration of Competence </w:t>
            </w:r>
            <w:r w:rsidR="008D5A13">
              <w:rPr>
                <w:rFonts w:ascii="Arial" w:hAnsi="Arial" w:cs="Arial"/>
                <w:sz w:val="20"/>
              </w:rPr>
              <w:t>(</w:t>
            </w:r>
            <w:proofErr w:type="spellStart"/>
            <w:r w:rsidR="008D5A13">
              <w:rPr>
                <w:rFonts w:ascii="Arial" w:hAnsi="Arial" w:cs="Arial"/>
                <w:sz w:val="20"/>
              </w:rPr>
              <w:t>DoC</w:t>
            </w:r>
            <w:proofErr w:type="spellEnd"/>
            <w:r w:rsidR="008D5A13">
              <w:rPr>
                <w:rFonts w:ascii="Arial" w:hAnsi="Arial" w:cs="Arial"/>
                <w:sz w:val="20"/>
              </w:rPr>
              <w:t xml:space="preserve">) </w:t>
            </w:r>
            <w:r w:rsidR="00896CDC" w:rsidRPr="00896CDC">
              <w:rPr>
                <w:rFonts w:ascii="Arial" w:hAnsi="Arial" w:cs="Arial"/>
                <w:sz w:val="20"/>
              </w:rPr>
              <w:t>on PharmOutcomes</w:t>
            </w:r>
            <w:r w:rsidR="00896CDC">
              <w:rPr>
                <w:rFonts w:ascii="Arial" w:hAnsi="Arial" w:cs="Arial"/>
                <w:sz w:val="20"/>
              </w:rPr>
              <w:t xml:space="preserve">. </w:t>
            </w:r>
            <w:r w:rsidR="002C34BB">
              <w:rPr>
                <w:rFonts w:ascii="Arial" w:hAnsi="Arial" w:cs="Arial"/>
                <w:sz w:val="20"/>
              </w:rPr>
              <w:t>Once t</w:t>
            </w:r>
            <w:r w:rsidR="001B1E68">
              <w:rPr>
                <w:rFonts w:ascii="Arial" w:hAnsi="Arial" w:cs="Arial"/>
                <w:sz w:val="20"/>
              </w:rPr>
              <w:t>his has been approved by the Commissioner,</w:t>
            </w:r>
            <w:r w:rsidR="002C34BB">
              <w:rPr>
                <w:rFonts w:ascii="Arial" w:hAnsi="Arial" w:cs="Arial"/>
                <w:sz w:val="20"/>
              </w:rPr>
              <w:t xml:space="preserve"> the pharmacy will then be able to deliver the service.</w:t>
            </w:r>
          </w:p>
          <w:p w14:paraId="4DDE7C66" w14:textId="77777777" w:rsidR="00637269" w:rsidRDefault="00637269" w:rsidP="009D41AF">
            <w:pPr>
              <w:pStyle w:val="NoSpacing"/>
              <w:rPr>
                <w:rFonts w:ascii="Arial" w:hAnsi="Arial" w:cs="Arial"/>
                <w:sz w:val="20"/>
              </w:rPr>
            </w:pPr>
          </w:p>
          <w:p w14:paraId="6B5735A3" w14:textId="77777777" w:rsidR="00896CDC" w:rsidRDefault="00641045" w:rsidP="003C0553">
            <w:pPr>
              <w:pStyle w:val="NoSpacing"/>
              <w:ind w:left="720"/>
              <w:rPr>
                <w:rFonts w:ascii="Arial" w:hAnsi="Arial" w:cs="Arial"/>
                <w:sz w:val="20"/>
              </w:rPr>
            </w:pPr>
            <w:r>
              <w:rPr>
                <w:rFonts w:ascii="Arial" w:hAnsi="Arial" w:cs="Arial"/>
                <w:sz w:val="20"/>
              </w:rPr>
              <w:t xml:space="preserve">The </w:t>
            </w:r>
            <w:proofErr w:type="spellStart"/>
            <w:r w:rsidR="008D5A13">
              <w:rPr>
                <w:rFonts w:ascii="Arial" w:hAnsi="Arial" w:cs="Arial"/>
                <w:sz w:val="20"/>
              </w:rPr>
              <w:t>DoC</w:t>
            </w:r>
            <w:proofErr w:type="spellEnd"/>
            <w:r w:rsidR="008D5A13">
              <w:rPr>
                <w:rFonts w:ascii="Arial" w:hAnsi="Arial" w:cs="Arial"/>
                <w:sz w:val="20"/>
              </w:rPr>
              <w:t xml:space="preserve"> will </w:t>
            </w:r>
            <w:r>
              <w:rPr>
                <w:rFonts w:ascii="Arial" w:hAnsi="Arial" w:cs="Arial"/>
                <w:sz w:val="20"/>
              </w:rPr>
              <w:t>require pharmacists to complete defined learning:</w:t>
            </w:r>
          </w:p>
          <w:p w14:paraId="0BB18D3A" w14:textId="77777777" w:rsidR="00641045" w:rsidRDefault="00641045" w:rsidP="001E72D0">
            <w:pPr>
              <w:pStyle w:val="NoSpacing"/>
              <w:numPr>
                <w:ilvl w:val="0"/>
                <w:numId w:val="15"/>
              </w:numPr>
              <w:rPr>
                <w:rFonts w:ascii="Arial" w:hAnsi="Arial" w:cs="Arial"/>
                <w:sz w:val="20"/>
              </w:rPr>
            </w:pPr>
            <w:r w:rsidRPr="00641045">
              <w:rPr>
                <w:rFonts w:ascii="Arial" w:hAnsi="Arial" w:cs="Arial"/>
                <w:sz w:val="20"/>
              </w:rPr>
              <w:t xml:space="preserve">e-learning on </w:t>
            </w:r>
            <w:r>
              <w:rPr>
                <w:rFonts w:ascii="Arial" w:hAnsi="Arial" w:cs="Arial"/>
                <w:sz w:val="20"/>
              </w:rPr>
              <w:t>Consultation skills</w:t>
            </w:r>
            <w:r w:rsidR="001E72D0">
              <w:rPr>
                <w:rFonts w:ascii="Arial" w:hAnsi="Arial" w:cs="Arial"/>
                <w:sz w:val="20"/>
              </w:rPr>
              <w:t xml:space="preserve"> from CPPE </w:t>
            </w:r>
            <w:hyperlink r:id="rId9" w:history="1">
              <w:r w:rsidR="001E72D0" w:rsidRPr="001E72D0">
                <w:rPr>
                  <w:rStyle w:val="Hyperlink"/>
                  <w:rFonts w:ascii="Arial" w:hAnsi="Arial" w:cs="Arial"/>
                  <w:sz w:val="20"/>
                </w:rPr>
                <w:t>https://www.cppe.ac.uk/programmes/l/consult-p-02</w:t>
              </w:r>
            </w:hyperlink>
            <w:r w:rsidR="001E72D0">
              <w:rPr>
                <w:rFonts w:ascii="Arial" w:hAnsi="Arial" w:cs="Arial"/>
                <w:sz w:val="20"/>
              </w:rPr>
              <w:t xml:space="preserve"> </w:t>
            </w:r>
          </w:p>
          <w:p w14:paraId="3583A9D6" w14:textId="77777777" w:rsidR="00641045" w:rsidRPr="00641045" w:rsidRDefault="00641045" w:rsidP="001E72D0">
            <w:pPr>
              <w:pStyle w:val="NoSpacing"/>
              <w:numPr>
                <w:ilvl w:val="0"/>
                <w:numId w:val="15"/>
              </w:numPr>
              <w:rPr>
                <w:rFonts w:ascii="Arial" w:hAnsi="Arial" w:cs="Arial"/>
                <w:sz w:val="20"/>
              </w:rPr>
            </w:pPr>
            <w:r>
              <w:rPr>
                <w:rFonts w:ascii="Arial" w:hAnsi="Arial" w:cs="Arial"/>
                <w:sz w:val="20"/>
              </w:rPr>
              <w:t>e-learning on Sepsis</w:t>
            </w:r>
            <w:r w:rsidR="001E72D0">
              <w:rPr>
                <w:rFonts w:ascii="Arial" w:hAnsi="Arial" w:cs="Arial"/>
                <w:sz w:val="20"/>
              </w:rPr>
              <w:t xml:space="preserve"> from CPPE </w:t>
            </w:r>
            <w:hyperlink r:id="rId10" w:history="1">
              <w:r w:rsidR="001E72D0" w:rsidRPr="001E72D0">
                <w:rPr>
                  <w:rStyle w:val="Hyperlink"/>
                  <w:rFonts w:ascii="Arial" w:hAnsi="Arial" w:cs="Arial"/>
                  <w:sz w:val="20"/>
                </w:rPr>
                <w:t>https://www.cppe.ac.uk/gateway/sepsis</w:t>
              </w:r>
            </w:hyperlink>
          </w:p>
          <w:p w14:paraId="5A4218FC" w14:textId="77777777" w:rsidR="00D03A06" w:rsidRDefault="00641045" w:rsidP="00D03A06">
            <w:pPr>
              <w:pStyle w:val="NoSpacing"/>
              <w:numPr>
                <w:ilvl w:val="0"/>
                <w:numId w:val="15"/>
              </w:numPr>
              <w:rPr>
                <w:rFonts w:ascii="Arial" w:hAnsi="Arial" w:cs="Arial"/>
                <w:sz w:val="20"/>
              </w:rPr>
            </w:pPr>
            <w:r>
              <w:rPr>
                <w:rFonts w:ascii="Arial" w:hAnsi="Arial" w:cs="Arial"/>
                <w:sz w:val="20"/>
              </w:rPr>
              <w:t xml:space="preserve">e-learning on </w:t>
            </w:r>
            <w:r w:rsidR="006F04D5" w:rsidRPr="006F04D5">
              <w:rPr>
                <w:rFonts w:ascii="Arial" w:hAnsi="Arial" w:cs="Arial"/>
                <w:sz w:val="20"/>
              </w:rPr>
              <w:t>Safeguarding</w:t>
            </w:r>
            <w:r w:rsidR="001E72D0">
              <w:rPr>
                <w:rFonts w:ascii="Arial" w:hAnsi="Arial" w:cs="Arial"/>
                <w:sz w:val="20"/>
              </w:rPr>
              <w:t xml:space="preserve"> Level 2 from CPPE </w:t>
            </w:r>
            <w:hyperlink r:id="rId11" w:history="1">
              <w:r w:rsidR="001E72D0" w:rsidRPr="001E72D0">
                <w:rPr>
                  <w:rStyle w:val="Hyperlink"/>
                  <w:rFonts w:ascii="Arial" w:hAnsi="Arial" w:cs="Arial"/>
                  <w:sz w:val="20"/>
                </w:rPr>
                <w:t>https://www.cppe.ac.uk/programmes/l/safegrding-e-02</w:t>
              </w:r>
            </w:hyperlink>
            <w:r w:rsidR="001E72D0">
              <w:rPr>
                <w:rFonts w:ascii="Arial" w:hAnsi="Arial" w:cs="Arial"/>
                <w:sz w:val="20"/>
              </w:rPr>
              <w:t xml:space="preserve"> </w:t>
            </w:r>
          </w:p>
          <w:p w14:paraId="50711AA5" w14:textId="33FE01F3" w:rsidR="00044D77" w:rsidRPr="00996982" w:rsidRDefault="00641045" w:rsidP="00996982">
            <w:pPr>
              <w:pStyle w:val="NoSpacing"/>
              <w:numPr>
                <w:ilvl w:val="0"/>
                <w:numId w:val="15"/>
              </w:numPr>
              <w:rPr>
                <w:rFonts w:ascii="Arial" w:hAnsi="Arial" w:cs="Arial"/>
                <w:sz w:val="20"/>
              </w:rPr>
            </w:pPr>
            <w:r w:rsidRPr="00D03A06">
              <w:rPr>
                <w:rFonts w:ascii="Arial" w:hAnsi="Arial" w:cs="Arial"/>
                <w:sz w:val="20"/>
              </w:rPr>
              <w:t>e-learning on Antimicrobial Stewardship</w:t>
            </w:r>
            <w:r w:rsidR="001E72D0" w:rsidRPr="00D03A06">
              <w:rPr>
                <w:rFonts w:ascii="Arial" w:hAnsi="Arial" w:cs="Arial"/>
                <w:sz w:val="20"/>
              </w:rPr>
              <w:t xml:space="preserve"> </w:t>
            </w:r>
            <w:hyperlink r:id="rId12" w:anchor="js_info_hs_1096.html" w:history="1">
              <w:r w:rsidR="00D03A06" w:rsidRPr="00D03A06">
                <w:rPr>
                  <w:rStyle w:val="Hyperlink"/>
                  <w:rFonts w:cstheme="minorHAnsi"/>
                  <w:sz w:val="20"/>
                </w:rPr>
                <w:t>Reducing Antimicrobial Resistance: An Introduction (e-learningforhealthcare.org.uk)</w:t>
              </w:r>
            </w:hyperlink>
          </w:p>
          <w:p w14:paraId="1BB53A83" w14:textId="21A7249B" w:rsidR="001E72D0" w:rsidRPr="0071379D" w:rsidRDefault="001E72D0" w:rsidP="00967337">
            <w:pPr>
              <w:pStyle w:val="NoSpacing"/>
              <w:numPr>
                <w:ilvl w:val="0"/>
                <w:numId w:val="15"/>
              </w:numPr>
              <w:rPr>
                <w:rStyle w:val="Hyperlink"/>
                <w:rFonts w:ascii="Arial" w:hAnsi="Arial" w:cs="Arial"/>
                <w:color w:val="auto"/>
                <w:sz w:val="20"/>
                <w:u w:val="none"/>
              </w:rPr>
            </w:pPr>
            <w:r w:rsidRPr="0071379D">
              <w:rPr>
                <w:rFonts w:ascii="Arial" w:hAnsi="Arial" w:cs="Arial"/>
                <w:sz w:val="20"/>
              </w:rPr>
              <w:t xml:space="preserve">Read and understand the </w:t>
            </w:r>
            <w:r w:rsidR="00641045" w:rsidRPr="0071379D">
              <w:rPr>
                <w:rFonts w:ascii="Arial" w:hAnsi="Arial" w:cs="Arial"/>
                <w:sz w:val="20"/>
              </w:rPr>
              <w:t>B</w:t>
            </w:r>
            <w:r w:rsidR="009F47D3" w:rsidRPr="0071379D">
              <w:rPr>
                <w:rFonts w:ascii="Arial" w:hAnsi="Arial" w:cs="Arial"/>
                <w:sz w:val="20"/>
              </w:rPr>
              <w:t>SW</w:t>
            </w:r>
            <w:r w:rsidR="00641045" w:rsidRPr="0071379D">
              <w:rPr>
                <w:rFonts w:ascii="Arial" w:hAnsi="Arial" w:cs="Arial"/>
                <w:sz w:val="20"/>
              </w:rPr>
              <w:t xml:space="preserve"> Antimicrobial Prescribing Guidelines </w:t>
            </w:r>
            <w:r w:rsidRPr="0071379D">
              <w:rPr>
                <w:rFonts w:ascii="Arial" w:hAnsi="Arial" w:cs="Arial"/>
                <w:sz w:val="20"/>
              </w:rPr>
              <w:t>available</w:t>
            </w:r>
            <w:r w:rsidR="00A2493F" w:rsidRPr="0071379D">
              <w:rPr>
                <w:rFonts w:ascii="Arial" w:hAnsi="Arial" w:cs="Arial"/>
                <w:sz w:val="20"/>
              </w:rPr>
              <w:t xml:space="preserve"> on</w:t>
            </w:r>
            <w:r w:rsidRPr="0071379D">
              <w:rPr>
                <w:rFonts w:ascii="Arial" w:hAnsi="Arial" w:cs="Arial"/>
                <w:sz w:val="20"/>
              </w:rPr>
              <w:t xml:space="preserve">: </w:t>
            </w:r>
            <w:hyperlink r:id="rId13" w:history="1">
              <w:r w:rsidR="009F47D3" w:rsidRPr="00A2493F">
                <w:rPr>
                  <w:rStyle w:val="Hyperlink"/>
                  <w:rFonts w:ascii="Arial" w:hAnsi="Arial" w:cs="Arial"/>
                  <w:color w:val="0070C0"/>
                  <w:sz w:val="20"/>
                </w:rPr>
                <w:t>https://prescribing.bswccg.nhs.uk/wpdm-package/wiltshire-swindon-banes-primary-care-antibiotic-guidance-jan-2019-nice-update</w:t>
              </w:r>
            </w:hyperlink>
          </w:p>
          <w:p w14:paraId="77EE3050" w14:textId="67393EC9" w:rsidR="00CE2109" w:rsidRPr="007A5EC7" w:rsidRDefault="00A2493F" w:rsidP="009D41AF">
            <w:pPr>
              <w:pStyle w:val="NoSpacing"/>
              <w:numPr>
                <w:ilvl w:val="0"/>
                <w:numId w:val="15"/>
              </w:numPr>
              <w:rPr>
                <w:rFonts w:ascii="Arial" w:hAnsi="Arial" w:cs="Arial"/>
                <w:color w:val="00B050"/>
                <w:sz w:val="20"/>
              </w:rPr>
            </w:pPr>
            <w:r w:rsidRPr="0071379D">
              <w:rPr>
                <w:rStyle w:val="Hyperlink"/>
                <w:rFonts w:ascii="Arial" w:hAnsi="Arial" w:cs="Arial"/>
                <w:color w:val="auto"/>
                <w:sz w:val="20"/>
                <w:u w:val="none"/>
              </w:rPr>
              <w:t>Read and understand the tool and resources available at RCGP TARGET antibiotics available on:</w:t>
            </w:r>
            <w:r w:rsidRPr="0071379D">
              <w:rPr>
                <w:rStyle w:val="Hyperlink"/>
                <w:rFonts w:ascii="Arial" w:hAnsi="Arial" w:cs="Arial"/>
                <w:color w:val="auto"/>
                <w:sz w:val="20"/>
              </w:rPr>
              <w:t xml:space="preserve"> </w:t>
            </w:r>
            <w:proofErr w:type="gramStart"/>
            <w:r w:rsidRPr="00A2493F">
              <w:rPr>
                <w:rStyle w:val="Hyperlink"/>
                <w:rFonts w:ascii="Arial" w:hAnsi="Arial" w:cs="Arial"/>
                <w:sz w:val="20"/>
              </w:rPr>
              <w:t>https://elearning.rcgp.org.uk/course/view.php?id=553?gclid=EAIaIQobChMIm5veyda19AIV2OFRCh2P5QnDEAAYASAAEgJOV_D_BwE</w:t>
            </w:r>
            <w:proofErr w:type="gramEnd"/>
            <w:r w:rsidRPr="00A2493F">
              <w:rPr>
                <w:rStyle w:val="Hyperlink"/>
                <w:rFonts w:ascii="Arial" w:hAnsi="Arial" w:cs="Arial"/>
                <w:sz w:val="20"/>
              </w:rPr>
              <w:t xml:space="preserve"> </w:t>
            </w:r>
          </w:p>
          <w:p w14:paraId="0A775460" w14:textId="77777777" w:rsidR="006B4806" w:rsidRDefault="00423592" w:rsidP="006B4806">
            <w:pPr>
              <w:spacing w:before="120" w:after="120"/>
              <w:ind w:left="720"/>
              <w:rPr>
                <w:rFonts w:ascii="Arial" w:hAnsi="Arial" w:cs="Arial"/>
                <w:sz w:val="20"/>
                <w:szCs w:val="22"/>
              </w:rPr>
            </w:pPr>
            <w:proofErr w:type="gramStart"/>
            <w:r w:rsidRPr="001E72D0">
              <w:rPr>
                <w:rFonts w:ascii="Arial" w:hAnsi="Arial" w:cs="Arial"/>
                <w:b/>
                <w:sz w:val="20"/>
                <w:szCs w:val="22"/>
              </w:rPr>
              <w:t>3.</w:t>
            </w:r>
            <w:r w:rsidR="00B07C41" w:rsidRPr="001E72D0">
              <w:rPr>
                <w:rFonts w:ascii="Arial" w:hAnsi="Arial" w:cs="Arial"/>
                <w:b/>
                <w:sz w:val="20"/>
                <w:szCs w:val="22"/>
              </w:rPr>
              <w:t>5</w:t>
            </w:r>
            <w:r w:rsidRPr="001E72D0">
              <w:rPr>
                <w:rFonts w:ascii="Arial" w:hAnsi="Arial" w:cs="Arial"/>
                <w:b/>
                <w:sz w:val="20"/>
                <w:szCs w:val="22"/>
              </w:rPr>
              <w:t>.4</w:t>
            </w:r>
            <w:r w:rsidRPr="001E72D0">
              <w:rPr>
                <w:rFonts w:ascii="Arial" w:hAnsi="Arial" w:cs="Arial"/>
                <w:sz w:val="20"/>
                <w:szCs w:val="22"/>
              </w:rPr>
              <w:t xml:space="preserve">  Pharmacists</w:t>
            </w:r>
            <w:proofErr w:type="gramEnd"/>
            <w:r w:rsidR="00CE2109" w:rsidRPr="001E72D0">
              <w:rPr>
                <w:rFonts w:ascii="Arial" w:hAnsi="Arial" w:cs="Arial"/>
                <w:sz w:val="20"/>
                <w:szCs w:val="22"/>
              </w:rPr>
              <w:t xml:space="preserve"> must ensure they are up to date with relevant issues and clinical skills relating to </w:t>
            </w:r>
            <w:r w:rsidRPr="001E72D0">
              <w:rPr>
                <w:rFonts w:ascii="Arial" w:hAnsi="Arial" w:cs="Arial"/>
                <w:sz w:val="20"/>
                <w:szCs w:val="22"/>
              </w:rPr>
              <w:t>the</w:t>
            </w:r>
            <w:r w:rsidR="00CE2109" w:rsidRPr="001E72D0">
              <w:rPr>
                <w:rFonts w:ascii="Arial" w:hAnsi="Arial" w:cs="Arial"/>
                <w:sz w:val="20"/>
                <w:szCs w:val="22"/>
              </w:rPr>
              <w:t xml:space="preserve"> PGD</w:t>
            </w:r>
            <w:r w:rsidRPr="001E72D0">
              <w:rPr>
                <w:rFonts w:ascii="Arial" w:hAnsi="Arial" w:cs="Arial"/>
                <w:sz w:val="20"/>
                <w:szCs w:val="22"/>
              </w:rPr>
              <w:t>s</w:t>
            </w:r>
            <w:r w:rsidR="00CE2109" w:rsidRPr="001E72D0">
              <w:rPr>
                <w:rFonts w:ascii="Arial" w:hAnsi="Arial" w:cs="Arial"/>
                <w:sz w:val="20"/>
                <w:szCs w:val="22"/>
              </w:rPr>
              <w:t xml:space="preserve"> and should be aware of any change to the recommendations for the medicines listed. It is the responsibility of the individual to keep </w:t>
            </w:r>
            <w:proofErr w:type="gramStart"/>
            <w:r w:rsidR="00CE2109" w:rsidRPr="001E72D0">
              <w:rPr>
                <w:rFonts w:ascii="Arial" w:hAnsi="Arial" w:cs="Arial"/>
                <w:sz w:val="20"/>
                <w:szCs w:val="22"/>
              </w:rPr>
              <w:t>up-to-date</w:t>
            </w:r>
            <w:proofErr w:type="gramEnd"/>
            <w:r w:rsidR="00CE2109" w:rsidRPr="001E72D0">
              <w:rPr>
                <w:rFonts w:ascii="Arial" w:hAnsi="Arial" w:cs="Arial"/>
                <w:sz w:val="20"/>
                <w:szCs w:val="22"/>
              </w:rPr>
              <w:t xml:space="preserve"> with Continued Professional Development (CPD).</w:t>
            </w:r>
            <w:r w:rsidR="00B07C41" w:rsidRPr="001E72D0">
              <w:rPr>
                <w:rFonts w:ascii="Arial" w:hAnsi="Arial" w:cs="Arial"/>
                <w:sz w:val="20"/>
                <w:szCs w:val="22"/>
              </w:rPr>
              <w:t xml:space="preserve"> </w:t>
            </w:r>
            <w:r w:rsidR="00CE2109" w:rsidRPr="001E72D0">
              <w:rPr>
                <w:rFonts w:ascii="Arial" w:hAnsi="Arial" w:cs="Arial"/>
                <w:sz w:val="20"/>
                <w:szCs w:val="22"/>
              </w:rPr>
              <w:t xml:space="preserve">Patient group directions do not remove inherent </w:t>
            </w:r>
            <w:r w:rsidR="00CE2109" w:rsidRPr="001E72D0">
              <w:rPr>
                <w:rFonts w:ascii="Arial" w:hAnsi="Arial" w:cs="Arial"/>
                <w:sz w:val="20"/>
                <w:szCs w:val="22"/>
              </w:rPr>
              <w:lastRenderedPageBreak/>
              <w:t>professional obligations or accountability.</w:t>
            </w:r>
            <w:r w:rsidR="00B07C41" w:rsidRPr="001E72D0">
              <w:rPr>
                <w:rFonts w:ascii="Arial" w:hAnsi="Arial" w:cs="Arial"/>
                <w:sz w:val="20"/>
                <w:szCs w:val="22"/>
              </w:rPr>
              <w:t xml:space="preserve"> </w:t>
            </w:r>
            <w:r w:rsidR="00CE2109" w:rsidRPr="001E72D0">
              <w:rPr>
                <w:rFonts w:ascii="Arial" w:hAnsi="Arial" w:cs="Arial"/>
                <w:sz w:val="20"/>
                <w:szCs w:val="22"/>
              </w:rPr>
              <w:t xml:space="preserve">It is the responsibility of each professional to </w:t>
            </w:r>
            <w:r w:rsidR="00BD70C0">
              <w:rPr>
                <w:rFonts w:ascii="Arial" w:hAnsi="Arial" w:cs="Arial"/>
                <w:sz w:val="20"/>
                <w:szCs w:val="22"/>
              </w:rPr>
              <w:t>practic</w:t>
            </w:r>
            <w:r w:rsidR="00BD70C0" w:rsidRPr="001E72D0">
              <w:rPr>
                <w:rFonts w:ascii="Arial" w:hAnsi="Arial" w:cs="Arial"/>
                <w:sz w:val="20"/>
                <w:szCs w:val="22"/>
              </w:rPr>
              <w:t>e</w:t>
            </w:r>
            <w:r w:rsidR="00CE2109" w:rsidRPr="001E72D0">
              <w:rPr>
                <w:rFonts w:ascii="Arial" w:hAnsi="Arial" w:cs="Arial"/>
                <w:sz w:val="20"/>
                <w:szCs w:val="22"/>
              </w:rPr>
              <w:t xml:space="preserve"> only within the bounds of their own competence and professional code of conduct.</w:t>
            </w:r>
          </w:p>
          <w:p w14:paraId="5787DC77" w14:textId="329DA982" w:rsidR="006B4806" w:rsidRPr="00996982" w:rsidRDefault="006B4806" w:rsidP="006B4806">
            <w:pPr>
              <w:spacing w:before="120" w:after="120"/>
              <w:ind w:left="720"/>
              <w:rPr>
                <w:rFonts w:ascii="Arial" w:hAnsi="Arial" w:cs="Arial"/>
                <w:sz w:val="20"/>
                <w:szCs w:val="16"/>
                <w:highlight w:val="yellow"/>
              </w:rPr>
            </w:pPr>
            <w:r w:rsidRPr="00996982">
              <w:rPr>
                <w:rFonts w:ascii="Arial" w:hAnsi="Arial" w:cs="Arial"/>
                <w:b/>
                <w:sz w:val="20"/>
                <w:szCs w:val="22"/>
                <w:highlight w:val="yellow"/>
              </w:rPr>
              <w:t xml:space="preserve">3.5.5 </w:t>
            </w:r>
            <w:r w:rsidRPr="00996982">
              <w:rPr>
                <w:rFonts w:ascii="Arial" w:hAnsi="Arial" w:cs="Arial"/>
                <w:bCs/>
                <w:sz w:val="20"/>
                <w:szCs w:val="22"/>
                <w:highlight w:val="yellow"/>
              </w:rPr>
              <w:t>P</w:t>
            </w:r>
            <w:r w:rsidRPr="00996982">
              <w:rPr>
                <w:rFonts w:ascii="Arial" w:hAnsi="Arial" w:cs="Arial"/>
                <w:sz w:val="20"/>
                <w:szCs w:val="16"/>
                <w:highlight w:val="yellow"/>
              </w:rPr>
              <w:t>harmacies must have a consultation room that will be used for the provision of the service which meets the requirements of the national terms of service. Where a face-to-face consultation is the preferred access model for the person, these consultations must be delivered from the consultation room at the pharmacy. There must be IT equipment accessible to allow contemporaneous records of the consultations provided</w:t>
            </w:r>
            <w:r w:rsidR="00996982">
              <w:rPr>
                <w:rFonts w:ascii="Arial" w:hAnsi="Arial" w:cs="Arial"/>
                <w:sz w:val="20"/>
                <w:szCs w:val="16"/>
                <w:highlight w:val="yellow"/>
              </w:rPr>
              <w:t>.</w:t>
            </w:r>
          </w:p>
          <w:p w14:paraId="7FE346A3" w14:textId="19C83A74" w:rsidR="006B4806" w:rsidRPr="00996982" w:rsidRDefault="006B4806" w:rsidP="006B4806">
            <w:pPr>
              <w:pStyle w:val="NoSpacing"/>
              <w:ind w:left="720"/>
              <w:rPr>
                <w:rFonts w:ascii="Arial" w:hAnsi="Arial" w:cs="Arial"/>
                <w:sz w:val="20"/>
                <w:highlight w:val="yellow"/>
              </w:rPr>
            </w:pPr>
            <w:r w:rsidRPr="00996982">
              <w:rPr>
                <w:rFonts w:ascii="Arial" w:hAnsi="Arial" w:cs="Arial"/>
                <w:b/>
                <w:sz w:val="20"/>
                <w:highlight w:val="yellow"/>
              </w:rPr>
              <w:t xml:space="preserve">3.5.6 </w:t>
            </w:r>
            <w:r w:rsidRPr="00996982">
              <w:rPr>
                <w:rFonts w:ascii="Arial" w:hAnsi="Arial" w:cs="Arial"/>
                <w:sz w:val="20"/>
                <w:highlight w:val="yellow"/>
              </w:rPr>
              <w:t xml:space="preserve">Remote consultations are also permitted to provide the service, where clinically appropriate. When undertaking remote consultations, the contractor must ensure that there are arrangements in place at the pharmacy which enable staff to communicate confidentially with the person receiving the service by telephone or another live audio link or a live video link. The contractor is responsible for ensuring that where </w:t>
            </w:r>
            <w:proofErr w:type="gramStart"/>
            <w:r w:rsidRPr="00996982">
              <w:rPr>
                <w:rFonts w:ascii="Arial" w:hAnsi="Arial" w:cs="Arial"/>
                <w:sz w:val="20"/>
                <w:highlight w:val="yellow"/>
              </w:rPr>
              <w:t>clinical</w:t>
            </w:r>
            <w:proofErr w:type="gramEnd"/>
            <w:r w:rsidRPr="00996982">
              <w:rPr>
                <w:rFonts w:ascii="Arial" w:hAnsi="Arial" w:cs="Arial"/>
                <w:sz w:val="20"/>
                <w:highlight w:val="yellow"/>
              </w:rPr>
              <w:t xml:space="preserve"> </w:t>
            </w:r>
          </w:p>
          <w:p w14:paraId="605F6A49" w14:textId="657CBF15" w:rsidR="006B4806" w:rsidRPr="00996982" w:rsidRDefault="006B4806" w:rsidP="00996982">
            <w:pPr>
              <w:pStyle w:val="NoSpacing"/>
              <w:ind w:left="720"/>
              <w:rPr>
                <w:rFonts w:ascii="Arial" w:hAnsi="Arial" w:cs="Arial"/>
                <w:sz w:val="20"/>
                <w:highlight w:val="yellow"/>
              </w:rPr>
            </w:pPr>
            <w:r w:rsidRPr="00996982">
              <w:rPr>
                <w:rFonts w:ascii="Arial" w:hAnsi="Arial" w:cs="Arial"/>
                <w:sz w:val="20"/>
                <w:highlight w:val="yellow"/>
              </w:rPr>
              <w:t>examination is required, such as for a rash, that the quality of the video consultation allows for appropriate examination so that the service can be safely provided by the contractor.</w:t>
            </w:r>
            <w:r w:rsidRPr="006B4806">
              <w:rPr>
                <w:rFonts w:ascii="Arial" w:hAnsi="Arial" w:cs="Arial"/>
                <w:sz w:val="20"/>
              </w:rPr>
              <w:t xml:space="preserve"> </w:t>
            </w:r>
          </w:p>
          <w:p w14:paraId="17A8145C" w14:textId="77777777" w:rsidR="00CE2109" w:rsidRPr="009D41AF" w:rsidRDefault="00CE2109" w:rsidP="009D41AF">
            <w:pPr>
              <w:pStyle w:val="NoSpacing"/>
              <w:rPr>
                <w:rFonts w:ascii="Arial" w:hAnsi="Arial" w:cs="Arial"/>
                <w:sz w:val="20"/>
              </w:rPr>
            </w:pPr>
            <w:r w:rsidRPr="0093009C">
              <w:rPr>
                <w:i/>
                <w:lang w:val="en-GB"/>
              </w:rPr>
              <w:t xml:space="preserve">  </w:t>
            </w:r>
          </w:p>
          <w:p w14:paraId="2621DDF9" w14:textId="77777777" w:rsidR="00637269" w:rsidRPr="009D41AF" w:rsidRDefault="008F5A7F" w:rsidP="009D41AF">
            <w:pPr>
              <w:pStyle w:val="NoSpacing"/>
              <w:rPr>
                <w:rFonts w:ascii="Arial" w:hAnsi="Arial" w:cs="Arial"/>
                <w:b/>
                <w:sz w:val="20"/>
              </w:rPr>
            </w:pPr>
            <w:r w:rsidRPr="009D41AF">
              <w:rPr>
                <w:rFonts w:ascii="Arial" w:hAnsi="Arial" w:cs="Arial"/>
                <w:b/>
                <w:sz w:val="20"/>
              </w:rPr>
              <w:t>3.</w:t>
            </w:r>
            <w:r w:rsidR="008C3006">
              <w:rPr>
                <w:rFonts w:ascii="Arial" w:hAnsi="Arial" w:cs="Arial"/>
                <w:b/>
                <w:sz w:val="20"/>
              </w:rPr>
              <w:t>6</w:t>
            </w:r>
            <w:r w:rsidR="00637269" w:rsidRPr="009D41AF">
              <w:rPr>
                <w:rFonts w:ascii="Arial" w:hAnsi="Arial" w:cs="Arial"/>
                <w:b/>
                <w:sz w:val="20"/>
              </w:rPr>
              <w:tab/>
              <w:t xml:space="preserve">Population </w:t>
            </w:r>
            <w:proofErr w:type="gramStart"/>
            <w:r w:rsidR="00637269" w:rsidRPr="009D41AF">
              <w:rPr>
                <w:rFonts w:ascii="Arial" w:hAnsi="Arial" w:cs="Arial"/>
                <w:b/>
                <w:sz w:val="20"/>
              </w:rPr>
              <w:t>covered</w:t>
            </w:r>
            <w:proofErr w:type="gramEnd"/>
          </w:p>
          <w:p w14:paraId="7C4D570B" w14:textId="77777777" w:rsidR="008F5A7F" w:rsidRPr="009D41AF" w:rsidRDefault="008F5A7F" w:rsidP="008C3006">
            <w:pPr>
              <w:pStyle w:val="NoSpacing"/>
              <w:ind w:left="720"/>
              <w:rPr>
                <w:rFonts w:ascii="Arial" w:hAnsi="Arial" w:cs="Arial"/>
                <w:b/>
                <w:sz w:val="20"/>
              </w:rPr>
            </w:pPr>
          </w:p>
          <w:p w14:paraId="3E114D0A" w14:textId="77777777" w:rsidR="00637269" w:rsidRDefault="008C3006" w:rsidP="008C3006">
            <w:pPr>
              <w:pStyle w:val="NoSpacing"/>
              <w:ind w:left="720"/>
              <w:rPr>
                <w:rFonts w:ascii="Arial" w:hAnsi="Arial" w:cs="Arial"/>
                <w:sz w:val="20"/>
              </w:rPr>
            </w:pPr>
            <w:r>
              <w:rPr>
                <w:rFonts w:ascii="Arial" w:hAnsi="Arial" w:cs="Arial"/>
                <w:b/>
                <w:sz w:val="20"/>
              </w:rPr>
              <w:t>3.6</w:t>
            </w:r>
            <w:r w:rsidR="000E7B0E" w:rsidRPr="009D41AF">
              <w:rPr>
                <w:rFonts w:ascii="Arial" w:hAnsi="Arial" w:cs="Arial"/>
                <w:b/>
                <w:sz w:val="20"/>
              </w:rPr>
              <w:t>.1</w:t>
            </w:r>
            <w:r w:rsidR="000E7B0E" w:rsidRPr="009D41AF">
              <w:rPr>
                <w:rFonts w:ascii="Arial" w:hAnsi="Arial" w:cs="Arial"/>
                <w:sz w:val="20"/>
              </w:rPr>
              <w:t xml:space="preserve"> </w:t>
            </w:r>
            <w:r w:rsidR="008F5A7F" w:rsidRPr="009D41AF">
              <w:rPr>
                <w:rFonts w:ascii="Arial" w:hAnsi="Arial" w:cs="Arial"/>
                <w:sz w:val="20"/>
              </w:rPr>
              <w:t xml:space="preserve">This is an open access scheme open to all patients </w:t>
            </w:r>
            <w:r w:rsidR="00675569">
              <w:rPr>
                <w:rFonts w:ascii="Arial" w:hAnsi="Arial" w:cs="Arial"/>
                <w:sz w:val="20"/>
              </w:rPr>
              <w:t xml:space="preserve">that meet the PGD </w:t>
            </w:r>
            <w:proofErr w:type="gramStart"/>
            <w:r w:rsidR="00675569">
              <w:rPr>
                <w:rFonts w:ascii="Arial" w:hAnsi="Arial" w:cs="Arial"/>
                <w:sz w:val="20"/>
              </w:rPr>
              <w:t>criteria</w:t>
            </w:r>
            <w:proofErr w:type="gramEnd"/>
          </w:p>
          <w:p w14:paraId="38C53ED7" w14:textId="77777777" w:rsidR="00675569" w:rsidRPr="009D41AF" w:rsidRDefault="00675569" w:rsidP="009D41AF">
            <w:pPr>
              <w:pStyle w:val="NoSpacing"/>
              <w:rPr>
                <w:rFonts w:ascii="Arial" w:hAnsi="Arial" w:cs="Arial"/>
                <w:sz w:val="20"/>
              </w:rPr>
            </w:pPr>
          </w:p>
          <w:p w14:paraId="02089F84" w14:textId="77777777" w:rsidR="00637269" w:rsidRPr="009D41AF" w:rsidRDefault="00637269" w:rsidP="009D41AF">
            <w:pPr>
              <w:pStyle w:val="NoSpacing"/>
              <w:rPr>
                <w:rFonts w:ascii="Arial" w:hAnsi="Arial" w:cs="Arial"/>
                <w:b/>
                <w:sz w:val="20"/>
              </w:rPr>
            </w:pPr>
            <w:r w:rsidRPr="009D41AF">
              <w:rPr>
                <w:rFonts w:ascii="Arial" w:hAnsi="Arial" w:cs="Arial"/>
                <w:b/>
                <w:sz w:val="20"/>
              </w:rPr>
              <w:t>3.</w:t>
            </w:r>
            <w:r w:rsidR="008C3006">
              <w:rPr>
                <w:rFonts w:ascii="Arial" w:hAnsi="Arial" w:cs="Arial"/>
                <w:b/>
                <w:sz w:val="20"/>
              </w:rPr>
              <w:t>7</w:t>
            </w:r>
            <w:r w:rsidRPr="009D41AF">
              <w:rPr>
                <w:rFonts w:ascii="Arial" w:hAnsi="Arial" w:cs="Arial"/>
                <w:b/>
                <w:sz w:val="20"/>
              </w:rPr>
              <w:tab/>
              <w:t>Any acceptance and exclusion criteria and thresholds</w:t>
            </w:r>
          </w:p>
          <w:p w14:paraId="1FDC4387" w14:textId="77777777" w:rsidR="008F5A7F" w:rsidRPr="009D41AF" w:rsidRDefault="008F5A7F" w:rsidP="009D41AF">
            <w:pPr>
              <w:pStyle w:val="NoSpacing"/>
              <w:rPr>
                <w:rFonts w:ascii="Arial" w:hAnsi="Arial" w:cs="Arial"/>
                <w:b/>
                <w:sz w:val="20"/>
              </w:rPr>
            </w:pPr>
          </w:p>
          <w:p w14:paraId="60174AD7" w14:textId="77777777" w:rsidR="00637269" w:rsidRDefault="000E7B0E" w:rsidP="008C3006">
            <w:pPr>
              <w:pStyle w:val="NoSpacing"/>
              <w:ind w:left="720"/>
              <w:rPr>
                <w:rFonts w:ascii="Arial" w:hAnsi="Arial" w:cs="Arial"/>
                <w:sz w:val="20"/>
              </w:rPr>
            </w:pPr>
            <w:proofErr w:type="gramStart"/>
            <w:r w:rsidRPr="009D41AF">
              <w:rPr>
                <w:rFonts w:ascii="Arial" w:hAnsi="Arial" w:cs="Arial"/>
                <w:b/>
                <w:sz w:val="20"/>
              </w:rPr>
              <w:t>3.</w:t>
            </w:r>
            <w:r w:rsidR="008C3006">
              <w:rPr>
                <w:rFonts w:ascii="Arial" w:hAnsi="Arial" w:cs="Arial"/>
                <w:b/>
                <w:sz w:val="20"/>
              </w:rPr>
              <w:t>7</w:t>
            </w:r>
            <w:r w:rsidRPr="009D41AF">
              <w:rPr>
                <w:rFonts w:ascii="Arial" w:hAnsi="Arial" w:cs="Arial"/>
                <w:b/>
                <w:sz w:val="20"/>
              </w:rPr>
              <w:t>.1</w:t>
            </w:r>
            <w:r w:rsidRPr="009D41AF">
              <w:rPr>
                <w:rFonts w:ascii="Arial" w:hAnsi="Arial" w:cs="Arial"/>
                <w:sz w:val="20"/>
              </w:rPr>
              <w:t xml:space="preserve"> </w:t>
            </w:r>
            <w:r w:rsidR="00896CDC">
              <w:rPr>
                <w:rFonts w:ascii="Arial" w:hAnsi="Arial" w:cs="Arial"/>
                <w:sz w:val="20"/>
              </w:rPr>
              <w:t xml:space="preserve"> Clinical</w:t>
            </w:r>
            <w:proofErr w:type="gramEnd"/>
            <w:r w:rsidR="00896CDC">
              <w:rPr>
                <w:rFonts w:ascii="Arial" w:hAnsi="Arial" w:cs="Arial"/>
                <w:sz w:val="20"/>
              </w:rPr>
              <w:t xml:space="preserve"> criteria for inclusion and exclusion are </w:t>
            </w:r>
            <w:r w:rsidR="008D5A13">
              <w:rPr>
                <w:rFonts w:ascii="Arial" w:hAnsi="Arial" w:cs="Arial"/>
                <w:sz w:val="20"/>
              </w:rPr>
              <w:t>included within the</w:t>
            </w:r>
            <w:r w:rsidR="00846919">
              <w:rPr>
                <w:rFonts w:ascii="Arial" w:hAnsi="Arial" w:cs="Arial"/>
                <w:sz w:val="20"/>
              </w:rPr>
              <w:t xml:space="preserve"> individual</w:t>
            </w:r>
            <w:r w:rsidR="008D5A13">
              <w:rPr>
                <w:rFonts w:ascii="Arial" w:hAnsi="Arial" w:cs="Arial"/>
                <w:sz w:val="20"/>
              </w:rPr>
              <w:t xml:space="preserve"> PGDs</w:t>
            </w:r>
          </w:p>
          <w:p w14:paraId="789EFECE" w14:textId="77777777" w:rsidR="009D41AF" w:rsidRPr="009D41AF" w:rsidRDefault="009D41AF" w:rsidP="009D41AF">
            <w:pPr>
              <w:pStyle w:val="NoSpacing"/>
              <w:rPr>
                <w:rFonts w:ascii="Arial" w:hAnsi="Arial" w:cs="Arial"/>
                <w:sz w:val="20"/>
              </w:rPr>
            </w:pPr>
          </w:p>
          <w:p w14:paraId="06A229D6" w14:textId="77777777" w:rsidR="00637269" w:rsidRPr="009D41AF" w:rsidRDefault="00637269" w:rsidP="009D41AF">
            <w:pPr>
              <w:pStyle w:val="NoSpacing"/>
              <w:rPr>
                <w:rFonts w:ascii="Arial" w:hAnsi="Arial" w:cs="Arial"/>
                <w:b/>
                <w:sz w:val="20"/>
              </w:rPr>
            </w:pPr>
            <w:r w:rsidRPr="009D41AF">
              <w:rPr>
                <w:rFonts w:ascii="Arial" w:hAnsi="Arial" w:cs="Arial"/>
                <w:b/>
                <w:sz w:val="20"/>
              </w:rPr>
              <w:t>3.</w:t>
            </w:r>
            <w:r w:rsidR="008C3006">
              <w:rPr>
                <w:rFonts w:ascii="Arial" w:hAnsi="Arial" w:cs="Arial"/>
                <w:b/>
                <w:sz w:val="20"/>
              </w:rPr>
              <w:t>8</w:t>
            </w:r>
            <w:r w:rsidRPr="009D41AF">
              <w:rPr>
                <w:rFonts w:ascii="Arial" w:hAnsi="Arial" w:cs="Arial"/>
                <w:b/>
                <w:sz w:val="20"/>
              </w:rPr>
              <w:tab/>
              <w:t>Interdependence with other services/providers</w:t>
            </w:r>
          </w:p>
          <w:p w14:paraId="162BBA1B" w14:textId="77777777" w:rsidR="00637269" w:rsidRPr="009D41AF" w:rsidRDefault="00637269" w:rsidP="009D41AF">
            <w:pPr>
              <w:pStyle w:val="NoSpacing"/>
              <w:rPr>
                <w:rFonts w:ascii="Arial" w:hAnsi="Arial" w:cs="Arial"/>
                <w:b/>
                <w:sz w:val="20"/>
              </w:rPr>
            </w:pPr>
          </w:p>
          <w:p w14:paraId="268F5C9A" w14:textId="2D5147F1" w:rsidR="001E72D0" w:rsidRDefault="000E7B0E" w:rsidP="001B1E68">
            <w:pPr>
              <w:pStyle w:val="NoSpacing"/>
              <w:ind w:left="720"/>
              <w:rPr>
                <w:rFonts w:ascii="Arial" w:hAnsi="Arial" w:cs="Arial"/>
                <w:sz w:val="20"/>
              </w:rPr>
            </w:pPr>
            <w:r w:rsidRPr="009D41AF">
              <w:rPr>
                <w:rFonts w:ascii="Arial" w:hAnsi="Arial" w:cs="Arial"/>
                <w:b/>
                <w:sz w:val="20"/>
                <w:lang w:eastAsia="en-GB"/>
              </w:rPr>
              <w:t>3.</w:t>
            </w:r>
            <w:r w:rsidR="008C3006">
              <w:rPr>
                <w:rFonts w:ascii="Arial" w:hAnsi="Arial" w:cs="Arial"/>
                <w:b/>
                <w:sz w:val="20"/>
                <w:lang w:eastAsia="en-GB"/>
              </w:rPr>
              <w:t>8</w:t>
            </w:r>
            <w:r w:rsidRPr="009D41AF">
              <w:rPr>
                <w:rFonts w:ascii="Arial" w:hAnsi="Arial" w:cs="Arial"/>
                <w:b/>
                <w:sz w:val="20"/>
                <w:lang w:eastAsia="en-GB"/>
              </w:rPr>
              <w:t>.1</w:t>
            </w:r>
            <w:r w:rsidRPr="009D41AF">
              <w:rPr>
                <w:rFonts w:ascii="Arial" w:hAnsi="Arial" w:cs="Arial"/>
                <w:sz w:val="20"/>
                <w:lang w:eastAsia="en-GB"/>
              </w:rPr>
              <w:t xml:space="preserve"> </w:t>
            </w:r>
            <w:r w:rsidR="008F5A7F" w:rsidRPr="009D41AF">
              <w:rPr>
                <w:rFonts w:ascii="Arial" w:hAnsi="Arial" w:cs="Arial"/>
                <w:sz w:val="20"/>
                <w:lang w:eastAsia="en-GB"/>
              </w:rPr>
              <w:t xml:space="preserve">The service is not intended to </w:t>
            </w:r>
            <w:r w:rsidR="00B07C41">
              <w:rPr>
                <w:rFonts w:ascii="Arial" w:hAnsi="Arial" w:cs="Arial"/>
                <w:sz w:val="20"/>
                <w:lang w:eastAsia="en-GB"/>
              </w:rPr>
              <w:t>replace</w:t>
            </w:r>
            <w:r w:rsidR="008F5A7F" w:rsidRPr="009D41AF">
              <w:rPr>
                <w:rFonts w:ascii="Arial" w:hAnsi="Arial" w:cs="Arial"/>
                <w:sz w:val="20"/>
                <w:lang w:eastAsia="en-GB"/>
              </w:rPr>
              <w:t xml:space="preserve"> </w:t>
            </w:r>
            <w:r w:rsidR="006C4E72">
              <w:rPr>
                <w:rFonts w:ascii="Arial" w:hAnsi="Arial" w:cs="Arial"/>
                <w:sz w:val="20"/>
                <w:lang w:eastAsia="en-GB"/>
              </w:rPr>
              <w:t xml:space="preserve">the NHS England commissioned </w:t>
            </w:r>
            <w:r w:rsidR="00996982">
              <w:rPr>
                <w:rFonts w:ascii="Arial" w:hAnsi="Arial" w:cs="Arial"/>
                <w:sz w:val="20"/>
                <w:lang w:eastAsia="en-GB"/>
              </w:rPr>
              <w:t xml:space="preserve">Pharmacy </w:t>
            </w:r>
            <w:proofErr w:type="gramStart"/>
            <w:r w:rsidR="00996982">
              <w:rPr>
                <w:rFonts w:ascii="Arial" w:hAnsi="Arial" w:cs="Arial"/>
                <w:sz w:val="20"/>
                <w:lang w:eastAsia="en-GB"/>
              </w:rPr>
              <w:t xml:space="preserve">First, </w:t>
            </w:r>
            <w:r w:rsidR="008F5A7F" w:rsidRPr="009D41AF">
              <w:rPr>
                <w:rFonts w:ascii="Arial" w:hAnsi="Arial" w:cs="Arial"/>
                <w:sz w:val="20"/>
                <w:lang w:eastAsia="en-GB"/>
              </w:rPr>
              <w:t>but</w:t>
            </w:r>
            <w:proofErr w:type="gramEnd"/>
            <w:r w:rsidR="008F5A7F" w:rsidRPr="009D41AF">
              <w:rPr>
                <w:rFonts w:ascii="Arial" w:hAnsi="Arial" w:cs="Arial"/>
                <w:sz w:val="20"/>
                <w:lang w:eastAsia="en-GB"/>
              </w:rPr>
              <w:t xml:space="preserve"> offers an alternative</w:t>
            </w:r>
            <w:r w:rsidR="006C4E72">
              <w:rPr>
                <w:rFonts w:ascii="Arial" w:hAnsi="Arial" w:cs="Arial"/>
                <w:sz w:val="20"/>
                <w:lang w:eastAsia="en-GB"/>
              </w:rPr>
              <w:t xml:space="preserve"> or additional </w:t>
            </w:r>
            <w:r w:rsidR="008F5A7F" w:rsidRPr="009D41AF">
              <w:rPr>
                <w:rFonts w:ascii="Arial" w:hAnsi="Arial" w:cs="Arial"/>
                <w:sz w:val="20"/>
                <w:lang w:eastAsia="en-GB"/>
              </w:rPr>
              <w:t>option</w:t>
            </w:r>
            <w:r w:rsidR="001B1E68">
              <w:rPr>
                <w:rFonts w:ascii="Arial" w:hAnsi="Arial" w:cs="Arial"/>
                <w:sz w:val="20"/>
                <w:lang w:eastAsia="en-GB"/>
              </w:rPr>
              <w:t xml:space="preserve"> where clinically appropriate</w:t>
            </w:r>
            <w:r w:rsidR="00996982">
              <w:rPr>
                <w:rFonts w:ascii="Arial" w:hAnsi="Arial" w:cs="Arial"/>
                <w:sz w:val="20"/>
                <w:lang w:eastAsia="en-GB"/>
              </w:rPr>
              <w:t>.</w:t>
            </w:r>
          </w:p>
          <w:p w14:paraId="64E03BA9" w14:textId="77777777" w:rsidR="001E72D0" w:rsidRDefault="001E72D0" w:rsidP="009D41AF">
            <w:pPr>
              <w:pStyle w:val="NoSpacing"/>
              <w:rPr>
                <w:rFonts w:ascii="Arial" w:hAnsi="Arial" w:cs="Arial"/>
                <w:sz w:val="20"/>
              </w:rPr>
            </w:pPr>
          </w:p>
          <w:p w14:paraId="6BA928A4" w14:textId="77777777" w:rsidR="00535987" w:rsidRDefault="00535987">
            <w:pPr>
              <w:spacing w:after="0"/>
              <w:rPr>
                <w:rFonts w:ascii="Arial" w:hAnsi="Arial" w:cs="Arial"/>
                <w:sz w:val="20"/>
              </w:rPr>
            </w:pPr>
          </w:p>
        </w:tc>
      </w:tr>
      <w:tr w:rsidR="00637269" w14:paraId="620D5F70"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4CAB489C" w14:textId="77777777" w:rsidR="00637269" w:rsidRDefault="00637269">
            <w:pPr>
              <w:spacing w:after="0" w:line="276" w:lineRule="auto"/>
              <w:rPr>
                <w:rFonts w:ascii="Arial" w:hAnsi="Arial" w:cs="Arial"/>
                <w:b/>
              </w:rPr>
            </w:pPr>
            <w:r>
              <w:rPr>
                <w:rFonts w:ascii="Arial" w:hAnsi="Arial" w:cs="Arial"/>
                <w:b/>
              </w:rPr>
              <w:lastRenderedPageBreak/>
              <w:t>4.</w:t>
            </w:r>
            <w:r>
              <w:rPr>
                <w:rFonts w:ascii="Arial" w:hAnsi="Arial" w:cs="Arial"/>
                <w:b/>
              </w:rPr>
              <w:tab/>
              <w:t>Applicable Service Standards</w:t>
            </w:r>
          </w:p>
        </w:tc>
      </w:tr>
      <w:tr w:rsidR="00637269" w14:paraId="1789ED86" w14:textId="77777777" w:rsidTr="000E51EF">
        <w:tc>
          <w:tcPr>
            <w:tcW w:w="8908" w:type="dxa"/>
            <w:tcBorders>
              <w:top w:val="single" w:sz="4" w:space="0" w:color="auto"/>
              <w:left w:val="single" w:sz="4" w:space="0" w:color="auto"/>
              <w:bottom w:val="single" w:sz="4" w:space="0" w:color="auto"/>
              <w:right w:val="single" w:sz="4" w:space="0" w:color="auto"/>
            </w:tcBorders>
          </w:tcPr>
          <w:p w14:paraId="36133291" w14:textId="77777777" w:rsidR="00641045" w:rsidRDefault="00641045">
            <w:pPr>
              <w:spacing w:after="0"/>
              <w:rPr>
                <w:rFonts w:ascii="Arial" w:hAnsi="Arial" w:cs="Arial"/>
                <w:sz w:val="20"/>
              </w:rPr>
            </w:pPr>
          </w:p>
          <w:p w14:paraId="1987A737" w14:textId="77777777" w:rsidR="00637269" w:rsidRPr="005C3101" w:rsidRDefault="00637269">
            <w:pPr>
              <w:spacing w:after="0"/>
              <w:rPr>
                <w:rFonts w:ascii="Arial" w:hAnsi="Arial" w:cs="Arial"/>
                <w:b/>
                <w:color w:val="000000" w:themeColor="text1"/>
                <w:sz w:val="20"/>
              </w:rPr>
            </w:pPr>
            <w:r>
              <w:rPr>
                <w:rFonts w:ascii="Arial" w:hAnsi="Arial" w:cs="Arial"/>
                <w:b/>
                <w:sz w:val="20"/>
              </w:rPr>
              <w:t>4.1</w:t>
            </w:r>
            <w:r w:rsidRPr="005C3101">
              <w:rPr>
                <w:rFonts w:ascii="Arial" w:hAnsi="Arial" w:cs="Arial"/>
                <w:b/>
                <w:color w:val="000000" w:themeColor="text1"/>
                <w:sz w:val="20"/>
              </w:rPr>
              <w:tab/>
              <w:t>Applicable national standards (</w:t>
            </w:r>
            <w:proofErr w:type="spellStart"/>
            <w:r w:rsidRPr="005C3101">
              <w:rPr>
                <w:rFonts w:ascii="Arial" w:hAnsi="Arial" w:cs="Arial"/>
                <w:b/>
                <w:color w:val="000000" w:themeColor="text1"/>
                <w:sz w:val="20"/>
              </w:rPr>
              <w:t>eg</w:t>
            </w:r>
            <w:proofErr w:type="spellEnd"/>
            <w:r w:rsidRPr="005C3101">
              <w:rPr>
                <w:rFonts w:ascii="Arial" w:hAnsi="Arial" w:cs="Arial"/>
                <w:b/>
                <w:color w:val="000000" w:themeColor="text1"/>
                <w:sz w:val="20"/>
              </w:rPr>
              <w:t xml:space="preserve"> NICE)</w:t>
            </w:r>
          </w:p>
          <w:p w14:paraId="0426A7D9" w14:textId="77777777" w:rsidR="004C3B3F" w:rsidRPr="005C3101" w:rsidRDefault="004C3B3F">
            <w:pPr>
              <w:spacing w:after="0"/>
              <w:rPr>
                <w:rFonts w:ascii="Arial" w:hAnsi="Arial" w:cs="Arial"/>
                <w:b/>
                <w:color w:val="000000" w:themeColor="text1"/>
                <w:sz w:val="20"/>
              </w:rPr>
            </w:pPr>
          </w:p>
          <w:p w14:paraId="5A01F284" w14:textId="77777777" w:rsidR="00853C9F" w:rsidRPr="005C3101" w:rsidRDefault="004C3B3F" w:rsidP="002D2355">
            <w:pPr>
              <w:spacing w:after="0"/>
              <w:ind w:left="720"/>
              <w:rPr>
                <w:rFonts w:ascii="Arial" w:hAnsi="Arial" w:cs="Arial"/>
                <w:color w:val="000000" w:themeColor="text1"/>
                <w:sz w:val="20"/>
              </w:rPr>
            </w:pPr>
            <w:r w:rsidRPr="005C3101">
              <w:rPr>
                <w:rFonts w:ascii="Arial" w:hAnsi="Arial" w:cs="Arial"/>
                <w:color w:val="000000" w:themeColor="text1"/>
                <w:sz w:val="20"/>
              </w:rPr>
              <w:t xml:space="preserve">NICE guidance MPG2 Patient Group Directions </w:t>
            </w:r>
            <w:hyperlink r:id="rId14" w:history="1">
              <w:r w:rsidRPr="005C3101">
                <w:rPr>
                  <w:rStyle w:val="Hyperlink"/>
                  <w:rFonts w:ascii="Arial" w:hAnsi="Arial" w:cs="Arial"/>
                  <w:color w:val="000000" w:themeColor="text1"/>
                  <w:sz w:val="20"/>
                </w:rPr>
                <w:t>https://www.nice.org.uk/guidance/MPG2</w:t>
              </w:r>
            </w:hyperlink>
            <w:r w:rsidRPr="005C3101">
              <w:rPr>
                <w:rFonts w:ascii="Arial" w:hAnsi="Arial" w:cs="Arial"/>
                <w:color w:val="000000" w:themeColor="text1"/>
                <w:sz w:val="20"/>
              </w:rPr>
              <w:t xml:space="preserve"> </w:t>
            </w:r>
          </w:p>
          <w:p w14:paraId="17C1A51F" w14:textId="77777777" w:rsidR="00A46F51" w:rsidRPr="005C3101" w:rsidRDefault="00A46F51" w:rsidP="002D2355">
            <w:pPr>
              <w:spacing w:after="0"/>
              <w:ind w:left="720"/>
              <w:rPr>
                <w:rFonts w:ascii="Arial" w:hAnsi="Arial" w:cs="Arial"/>
                <w:color w:val="000000" w:themeColor="text1"/>
                <w:sz w:val="20"/>
              </w:rPr>
            </w:pPr>
          </w:p>
          <w:p w14:paraId="7AE850B4" w14:textId="77777777" w:rsidR="00A46F51" w:rsidRPr="005C3101" w:rsidRDefault="00A46F51" w:rsidP="002D2355">
            <w:pPr>
              <w:spacing w:after="0"/>
              <w:ind w:left="720"/>
              <w:rPr>
                <w:rStyle w:val="Hyperlink"/>
                <w:rFonts w:ascii="Arial" w:hAnsi="Arial" w:cs="Arial"/>
                <w:color w:val="000000" w:themeColor="text1"/>
                <w:sz w:val="20"/>
              </w:rPr>
            </w:pPr>
            <w:r w:rsidRPr="005C3101">
              <w:rPr>
                <w:rFonts w:ascii="Arial" w:hAnsi="Arial" w:cs="Arial"/>
                <w:color w:val="000000" w:themeColor="text1"/>
                <w:sz w:val="20"/>
              </w:rPr>
              <w:t xml:space="preserve">NICE CKS Conjunctivitis – infective </w:t>
            </w:r>
            <w:hyperlink r:id="rId15" w:history="1">
              <w:r w:rsidRPr="005C3101">
                <w:rPr>
                  <w:rStyle w:val="Hyperlink"/>
                  <w:rFonts w:ascii="Arial" w:hAnsi="Arial" w:cs="Arial"/>
                  <w:color w:val="000000" w:themeColor="text1"/>
                  <w:sz w:val="20"/>
                </w:rPr>
                <w:t>https://cks.nice.org.uk/conjunctivitis-infective</w:t>
              </w:r>
            </w:hyperlink>
          </w:p>
          <w:p w14:paraId="77CDF4FB" w14:textId="77777777" w:rsidR="00635BB1" w:rsidRPr="005C3101" w:rsidRDefault="00635BB1" w:rsidP="002D2355">
            <w:pPr>
              <w:spacing w:after="0"/>
              <w:ind w:left="720"/>
              <w:rPr>
                <w:rFonts w:ascii="Arial" w:hAnsi="Arial" w:cs="Arial"/>
                <w:color w:val="000000" w:themeColor="text1"/>
                <w:sz w:val="20"/>
              </w:rPr>
            </w:pPr>
          </w:p>
          <w:p w14:paraId="7D242BB9" w14:textId="77777777" w:rsidR="00853C9F" w:rsidRDefault="00853C9F" w:rsidP="005C3101">
            <w:pPr>
              <w:spacing w:after="0"/>
              <w:rPr>
                <w:rFonts w:ascii="Arial" w:hAnsi="Arial" w:cs="Arial"/>
                <w:sz w:val="20"/>
              </w:rPr>
            </w:pPr>
          </w:p>
          <w:p w14:paraId="1C7CE5FE" w14:textId="3E1F7739" w:rsidR="00044D77" w:rsidRPr="005C3101" w:rsidRDefault="00637269" w:rsidP="005C3101">
            <w:pPr>
              <w:spacing w:after="0"/>
              <w:ind w:left="743" w:hanging="743"/>
              <w:rPr>
                <w:rFonts w:ascii="Arial" w:hAnsi="Arial" w:cs="Arial"/>
                <w:b/>
                <w:sz w:val="20"/>
              </w:rPr>
            </w:pPr>
            <w:r>
              <w:rPr>
                <w:rFonts w:ascii="Arial" w:hAnsi="Arial" w:cs="Arial"/>
                <w:b/>
                <w:sz w:val="20"/>
              </w:rPr>
              <w:t>4.2</w:t>
            </w:r>
            <w:r>
              <w:rPr>
                <w:rFonts w:ascii="Arial" w:hAnsi="Arial" w:cs="Arial"/>
                <w:b/>
                <w:sz w:val="20"/>
              </w:rPr>
              <w:tab/>
              <w:t>Applicable standards set out in Guidance and/or issued by a competent body (</w:t>
            </w:r>
            <w:proofErr w:type="spellStart"/>
            <w:r>
              <w:rPr>
                <w:rFonts w:ascii="Arial" w:hAnsi="Arial" w:cs="Arial"/>
                <w:b/>
                <w:sz w:val="20"/>
              </w:rPr>
              <w:t>eg</w:t>
            </w:r>
            <w:proofErr w:type="spellEnd"/>
            <w:r>
              <w:rPr>
                <w:rFonts w:ascii="Arial" w:hAnsi="Arial" w:cs="Arial"/>
                <w:b/>
                <w:sz w:val="20"/>
              </w:rPr>
              <w:t xml:space="preserve"> Royal Colleges</w:t>
            </w:r>
          </w:p>
          <w:p w14:paraId="0C4F1F3E" w14:textId="77777777" w:rsidR="00535987" w:rsidRDefault="00535987">
            <w:pPr>
              <w:spacing w:after="0"/>
              <w:ind w:left="743" w:hanging="743"/>
              <w:rPr>
                <w:rFonts w:ascii="Arial" w:hAnsi="Arial" w:cs="Arial"/>
                <w:b/>
                <w:sz w:val="20"/>
              </w:rPr>
            </w:pPr>
          </w:p>
          <w:p w14:paraId="5E31D0BB" w14:textId="0AC46AFC" w:rsidR="00635BB1" w:rsidRPr="005C3101" w:rsidRDefault="004C3B3F" w:rsidP="00635BB1">
            <w:pPr>
              <w:spacing w:after="0"/>
              <w:ind w:left="743" w:hanging="23"/>
              <w:rPr>
                <w:rFonts w:ascii="Arial" w:hAnsi="Arial" w:cs="Arial"/>
                <w:color w:val="000000" w:themeColor="text1"/>
                <w:sz w:val="20"/>
              </w:rPr>
            </w:pPr>
            <w:r w:rsidRPr="005C3101">
              <w:rPr>
                <w:rFonts w:ascii="Arial" w:hAnsi="Arial" w:cs="Arial"/>
                <w:color w:val="000000" w:themeColor="text1"/>
                <w:sz w:val="20"/>
              </w:rPr>
              <w:t>B</w:t>
            </w:r>
            <w:r w:rsidR="00635BB1" w:rsidRPr="005C3101">
              <w:rPr>
                <w:rFonts w:ascii="Arial" w:hAnsi="Arial" w:cs="Arial"/>
                <w:color w:val="000000" w:themeColor="text1"/>
                <w:sz w:val="20"/>
              </w:rPr>
              <w:t>SW</w:t>
            </w:r>
            <w:r w:rsidRPr="005C3101">
              <w:rPr>
                <w:rFonts w:ascii="Arial" w:hAnsi="Arial" w:cs="Arial"/>
                <w:color w:val="000000" w:themeColor="text1"/>
                <w:sz w:val="20"/>
              </w:rPr>
              <w:t xml:space="preserve"> Primary Care Antimicrobial Guidelines</w:t>
            </w:r>
            <w:r w:rsidR="00A46F51" w:rsidRPr="005C3101">
              <w:rPr>
                <w:rFonts w:ascii="Arial" w:hAnsi="Arial" w:cs="Arial"/>
                <w:color w:val="000000" w:themeColor="text1"/>
                <w:sz w:val="20"/>
              </w:rPr>
              <w:t xml:space="preserve"> </w:t>
            </w:r>
            <w:hyperlink r:id="rId16" w:history="1">
              <w:r w:rsidR="00635BB1" w:rsidRPr="005C3101">
                <w:rPr>
                  <w:rStyle w:val="Hyperlink"/>
                  <w:rFonts w:ascii="Arial" w:hAnsi="Arial" w:cs="Arial"/>
                  <w:color w:val="000000" w:themeColor="text1"/>
                  <w:sz w:val="20"/>
                </w:rPr>
                <w:t>https://prescribing.bswccg.nhs.uk/wpdm-package/wiltshire-swindon-banes-primary-care-antibiotic-guidance-jan-2019-nice-update</w:t>
              </w:r>
            </w:hyperlink>
          </w:p>
          <w:p w14:paraId="5D674794" w14:textId="77777777" w:rsidR="00635BB1" w:rsidRPr="005C3101" w:rsidRDefault="00635BB1" w:rsidP="001B1E68">
            <w:pPr>
              <w:spacing w:after="0"/>
              <w:ind w:left="743" w:hanging="23"/>
              <w:rPr>
                <w:rFonts w:ascii="Arial" w:hAnsi="Arial" w:cs="Arial"/>
                <w:color w:val="000000" w:themeColor="text1"/>
                <w:sz w:val="20"/>
              </w:rPr>
            </w:pPr>
          </w:p>
          <w:p w14:paraId="6962D672" w14:textId="77777777" w:rsidR="000757F9" w:rsidRPr="005C3101" w:rsidRDefault="000757F9" w:rsidP="00535987">
            <w:pPr>
              <w:spacing w:after="0"/>
              <w:ind w:left="1463" w:hanging="743"/>
              <w:rPr>
                <w:rFonts w:ascii="Arial" w:hAnsi="Arial" w:cs="Arial"/>
                <w:color w:val="000000" w:themeColor="text1"/>
                <w:sz w:val="20"/>
              </w:rPr>
            </w:pPr>
            <w:r w:rsidRPr="005C3101">
              <w:rPr>
                <w:rFonts w:ascii="Arial" w:hAnsi="Arial" w:cs="Arial"/>
                <w:color w:val="000000" w:themeColor="text1"/>
                <w:sz w:val="20"/>
              </w:rPr>
              <w:t>General Pharmaceutical Council. Standards for Pharmacy Professionals</w:t>
            </w:r>
          </w:p>
          <w:p w14:paraId="1144CD70" w14:textId="6EA7492E" w:rsidR="003C0553" w:rsidRPr="007A5EC7" w:rsidRDefault="0019053B" w:rsidP="007A5EC7">
            <w:pPr>
              <w:spacing w:after="0"/>
              <w:ind w:left="1463" w:hanging="743"/>
              <w:rPr>
                <w:rFonts w:ascii="Arial" w:hAnsi="Arial" w:cs="Arial"/>
                <w:color w:val="000000" w:themeColor="text1"/>
                <w:sz w:val="20"/>
              </w:rPr>
            </w:pPr>
            <w:hyperlink r:id="rId17" w:history="1">
              <w:r w:rsidR="000757F9" w:rsidRPr="005C3101">
                <w:rPr>
                  <w:rStyle w:val="Hyperlink"/>
                  <w:rFonts w:ascii="Arial" w:hAnsi="Arial" w:cs="Arial"/>
                  <w:color w:val="000000" w:themeColor="text1"/>
                  <w:sz w:val="20"/>
                </w:rPr>
                <w:t>https://www.pharmacyregulation.org/standards-for-pharmacy-professionals</w:t>
              </w:r>
            </w:hyperlink>
          </w:p>
        </w:tc>
      </w:tr>
      <w:tr w:rsidR="00637269" w14:paraId="776DDC00" w14:textId="77777777" w:rsidTr="000E51EF">
        <w:tc>
          <w:tcPr>
            <w:tcW w:w="8908" w:type="dxa"/>
            <w:tcBorders>
              <w:top w:val="single" w:sz="4" w:space="0" w:color="auto"/>
              <w:left w:val="single" w:sz="4" w:space="0" w:color="auto"/>
              <w:bottom w:val="single" w:sz="4" w:space="0" w:color="auto"/>
              <w:right w:val="single" w:sz="4" w:space="0" w:color="auto"/>
            </w:tcBorders>
            <w:hideMark/>
          </w:tcPr>
          <w:p w14:paraId="2169EB20" w14:textId="77777777" w:rsidR="00637269" w:rsidRDefault="00637269" w:rsidP="00535987">
            <w:pPr>
              <w:spacing w:after="0" w:line="276" w:lineRule="auto"/>
              <w:rPr>
                <w:rFonts w:ascii="Arial" w:hAnsi="Arial" w:cs="Arial"/>
                <w:b/>
              </w:rPr>
            </w:pPr>
            <w:r>
              <w:rPr>
                <w:rFonts w:ascii="Arial" w:hAnsi="Arial" w:cs="Arial"/>
                <w:b/>
              </w:rPr>
              <w:t>5.</w:t>
            </w:r>
            <w:r>
              <w:rPr>
                <w:rFonts w:ascii="Arial" w:hAnsi="Arial" w:cs="Arial"/>
                <w:b/>
              </w:rPr>
              <w:tab/>
            </w:r>
            <w:r w:rsidR="00535987">
              <w:rPr>
                <w:rFonts w:ascii="Arial" w:hAnsi="Arial" w:cs="Arial"/>
                <w:b/>
              </w:rPr>
              <w:t>Applicable quality requirements</w:t>
            </w:r>
          </w:p>
        </w:tc>
      </w:tr>
      <w:tr w:rsidR="00637269" w14:paraId="383D7A0D" w14:textId="77777777" w:rsidTr="000E51EF">
        <w:tc>
          <w:tcPr>
            <w:tcW w:w="8908" w:type="dxa"/>
            <w:tcBorders>
              <w:top w:val="single" w:sz="4" w:space="0" w:color="auto"/>
              <w:left w:val="single" w:sz="4" w:space="0" w:color="auto"/>
              <w:bottom w:val="single" w:sz="4" w:space="0" w:color="auto"/>
              <w:right w:val="single" w:sz="4" w:space="0" w:color="auto"/>
            </w:tcBorders>
          </w:tcPr>
          <w:p w14:paraId="4C9DE0BD" w14:textId="77777777" w:rsidR="00637269" w:rsidRDefault="00637269">
            <w:pPr>
              <w:spacing w:after="0"/>
              <w:rPr>
                <w:rFonts w:ascii="Arial" w:hAnsi="Arial" w:cs="Arial"/>
                <w:sz w:val="20"/>
              </w:rPr>
            </w:pPr>
          </w:p>
          <w:p w14:paraId="5FC38C7F" w14:textId="77777777" w:rsidR="00535987" w:rsidRDefault="00637269" w:rsidP="00535987">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A</w:t>
            </w:r>
            <w:r w:rsidR="00350A37">
              <w:rPr>
                <w:rFonts w:ascii="Arial" w:hAnsi="Arial" w:cs="Arial"/>
                <w:b/>
                <w:sz w:val="20"/>
                <w:szCs w:val="20"/>
                <w:lang w:eastAsia="ja-JP"/>
              </w:rPr>
              <w:t xml:space="preserve">pplicable Quality Requirements </w:t>
            </w:r>
          </w:p>
          <w:p w14:paraId="6BF1DC2B" w14:textId="77777777" w:rsidR="008C3006" w:rsidRPr="008C3006" w:rsidRDefault="008C3006" w:rsidP="008C3006">
            <w:pPr>
              <w:pStyle w:val="ListParagraph"/>
              <w:ind w:left="743"/>
              <w:rPr>
                <w:rFonts w:ascii="Arial" w:hAnsi="Arial" w:cs="Arial"/>
                <w:b/>
                <w:sz w:val="20"/>
                <w:szCs w:val="20"/>
                <w:lang w:eastAsia="ja-JP"/>
              </w:rPr>
            </w:pPr>
          </w:p>
          <w:p w14:paraId="38985D60" w14:textId="77777777" w:rsidR="00535987" w:rsidRPr="008C2619" w:rsidRDefault="000E7B0E" w:rsidP="000E7B0E">
            <w:pPr>
              <w:ind w:left="720"/>
              <w:rPr>
                <w:rFonts w:ascii="Arial" w:hAnsi="Arial" w:cs="Arial"/>
                <w:sz w:val="20"/>
              </w:rPr>
            </w:pPr>
            <w:r w:rsidRPr="008C2619">
              <w:rPr>
                <w:rFonts w:ascii="Arial" w:hAnsi="Arial" w:cs="Arial"/>
                <w:b/>
                <w:sz w:val="20"/>
              </w:rPr>
              <w:t>5.1.1</w:t>
            </w:r>
            <w:r w:rsidR="00535987" w:rsidRPr="008C2619">
              <w:rPr>
                <w:rFonts w:ascii="Arial" w:hAnsi="Arial" w:cs="Arial"/>
                <w:sz w:val="20"/>
              </w:rPr>
              <w:t xml:space="preserve"> </w:t>
            </w:r>
            <w:r w:rsidR="008C2619" w:rsidRPr="008C2619">
              <w:rPr>
                <w:rFonts w:ascii="Arial" w:hAnsi="Arial" w:cs="Arial"/>
                <w:sz w:val="20"/>
              </w:rPr>
              <w:t>All pharmacists providing the service have completed a declaration of competence</w:t>
            </w:r>
            <w:r w:rsidR="00662F35">
              <w:rPr>
                <w:rFonts w:ascii="Arial" w:hAnsi="Arial" w:cs="Arial"/>
                <w:sz w:val="20"/>
              </w:rPr>
              <w:t xml:space="preserve"> (this must be completed before the service can be provided</w:t>
            </w:r>
            <w:r w:rsidR="000757F9">
              <w:rPr>
                <w:rFonts w:ascii="Arial" w:hAnsi="Arial" w:cs="Arial"/>
                <w:sz w:val="20"/>
              </w:rPr>
              <w:t xml:space="preserve"> by the pharmacist</w:t>
            </w:r>
            <w:r w:rsidR="00350A37">
              <w:rPr>
                <w:rFonts w:ascii="Arial" w:hAnsi="Arial" w:cs="Arial"/>
                <w:sz w:val="20"/>
              </w:rPr>
              <w:t>)</w:t>
            </w:r>
          </w:p>
          <w:p w14:paraId="4842FA2D" w14:textId="77777777" w:rsidR="003C0553" w:rsidRDefault="000E7B0E" w:rsidP="003C0553">
            <w:pPr>
              <w:ind w:left="720"/>
              <w:rPr>
                <w:rFonts w:ascii="Arial" w:hAnsi="Arial" w:cs="Arial"/>
                <w:sz w:val="20"/>
              </w:rPr>
            </w:pPr>
            <w:r w:rsidRPr="00E9004D">
              <w:rPr>
                <w:rFonts w:ascii="Arial" w:hAnsi="Arial" w:cs="Arial"/>
                <w:b/>
                <w:sz w:val="20"/>
              </w:rPr>
              <w:t>5.1.2</w:t>
            </w:r>
            <w:r w:rsidR="00535987" w:rsidRPr="00535987">
              <w:rPr>
                <w:rFonts w:ascii="Arial" w:hAnsi="Arial" w:cs="Arial"/>
                <w:sz w:val="20"/>
              </w:rPr>
              <w:t xml:space="preserve"> The pharmacy </w:t>
            </w:r>
            <w:r w:rsidR="00350A37">
              <w:rPr>
                <w:rFonts w:ascii="Arial" w:hAnsi="Arial" w:cs="Arial"/>
                <w:sz w:val="20"/>
              </w:rPr>
              <w:t>agrees</w:t>
            </w:r>
            <w:r>
              <w:rPr>
                <w:rFonts w:ascii="Arial" w:hAnsi="Arial" w:cs="Arial"/>
                <w:sz w:val="20"/>
              </w:rPr>
              <w:t xml:space="preserve"> to liaise with </w:t>
            </w:r>
            <w:r w:rsidR="001B1E68">
              <w:rPr>
                <w:rFonts w:ascii="Arial" w:hAnsi="Arial" w:cs="Arial"/>
                <w:sz w:val="20"/>
              </w:rPr>
              <w:t>the commissioner</w:t>
            </w:r>
            <w:r w:rsidR="00535987" w:rsidRPr="00535987">
              <w:rPr>
                <w:rFonts w:ascii="Arial" w:hAnsi="Arial" w:cs="Arial"/>
                <w:sz w:val="20"/>
              </w:rPr>
              <w:t xml:space="preserve"> to audit the service so that informed decisions can be made about how to improve it.</w:t>
            </w:r>
          </w:p>
          <w:p w14:paraId="4C846311" w14:textId="77777777" w:rsidR="003C0553" w:rsidRDefault="008C2619" w:rsidP="00E9004D">
            <w:pPr>
              <w:ind w:left="720"/>
              <w:rPr>
                <w:rFonts w:ascii="Arial" w:hAnsi="Arial" w:cs="Arial"/>
                <w:sz w:val="20"/>
              </w:rPr>
            </w:pPr>
            <w:r w:rsidRPr="008C2619">
              <w:rPr>
                <w:rFonts w:ascii="Arial" w:hAnsi="Arial" w:cs="Arial"/>
                <w:b/>
                <w:sz w:val="20"/>
              </w:rPr>
              <w:lastRenderedPageBreak/>
              <w:t>5.1.3</w:t>
            </w:r>
            <w:r>
              <w:rPr>
                <w:rFonts w:ascii="Arial" w:hAnsi="Arial" w:cs="Arial"/>
                <w:sz w:val="20"/>
              </w:rPr>
              <w:t xml:space="preserve"> </w:t>
            </w:r>
            <w:r w:rsidR="003C0553">
              <w:rPr>
                <w:rFonts w:ascii="Arial" w:hAnsi="Arial" w:cs="Arial"/>
                <w:sz w:val="20"/>
              </w:rPr>
              <w:t>The pharmacy will collect patient feedback and outcome measures as part of</w:t>
            </w:r>
            <w:r w:rsidR="00662F35">
              <w:rPr>
                <w:rFonts w:ascii="Arial" w:hAnsi="Arial" w:cs="Arial"/>
                <w:sz w:val="20"/>
              </w:rPr>
              <w:t xml:space="preserve"> service evaluation and will use</w:t>
            </w:r>
            <w:r w:rsidR="003C0553">
              <w:rPr>
                <w:rFonts w:ascii="Arial" w:hAnsi="Arial" w:cs="Arial"/>
                <w:sz w:val="20"/>
              </w:rPr>
              <w:t xml:space="preserve"> the PharmOutcomes template</w:t>
            </w:r>
            <w:r>
              <w:rPr>
                <w:rFonts w:ascii="Arial" w:hAnsi="Arial" w:cs="Arial"/>
                <w:sz w:val="20"/>
              </w:rPr>
              <w:t>s</w:t>
            </w:r>
            <w:r w:rsidR="00662F35">
              <w:rPr>
                <w:rFonts w:ascii="Arial" w:hAnsi="Arial" w:cs="Arial"/>
                <w:sz w:val="20"/>
              </w:rPr>
              <w:t xml:space="preserve"> </w:t>
            </w:r>
            <w:proofErr w:type="gramStart"/>
            <w:r w:rsidR="00662F35">
              <w:rPr>
                <w:rFonts w:ascii="Arial" w:hAnsi="Arial" w:cs="Arial"/>
                <w:sz w:val="20"/>
              </w:rPr>
              <w:t>provided</w:t>
            </w:r>
            <w:proofErr w:type="gramEnd"/>
          </w:p>
          <w:p w14:paraId="0DD97166" w14:textId="77777777" w:rsidR="002D2355" w:rsidRDefault="001B1E68" w:rsidP="00E9004D">
            <w:pPr>
              <w:ind w:left="720"/>
              <w:rPr>
                <w:rFonts w:ascii="Arial" w:hAnsi="Arial" w:cs="Arial"/>
                <w:sz w:val="20"/>
              </w:rPr>
            </w:pPr>
            <w:r>
              <w:rPr>
                <w:rFonts w:ascii="Arial" w:hAnsi="Arial" w:cs="Arial"/>
                <w:b/>
                <w:sz w:val="20"/>
              </w:rPr>
              <w:t xml:space="preserve">5.1.3 </w:t>
            </w:r>
            <w:r w:rsidRPr="001B1E68">
              <w:rPr>
                <w:rFonts w:ascii="Arial" w:hAnsi="Arial" w:cs="Arial"/>
                <w:sz w:val="20"/>
              </w:rPr>
              <w:t>The commissioner</w:t>
            </w:r>
            <w:r w:rsidR="00DD18EF" w:rsidRPr="00DD18EF">
              <w:rPr>
                <w:rFonts w:ascii="Arial" w:hAnsi="Arial" w:cs="Arial"/>
                <w:sz w:val="20"/>
              </w:rPr>
              <w:t xml:space="preserve"> will monitor supplies made through the service </w:t>
            </w:r>
            <w:proofErr w:type="gramStart"/>
            <w:r w:rsidR="00DD18EF" w:rsidRPr="00DD18EF">
              <w:rPr>
                <w:rFonts w:ascii="Arial" w:hAnsi="Arial" w:cs="Arial"/>
                <w:sz w:val="20"/>
              </w:rPr>
              <w:t>on a monthly basis</w:t>
            </w:r>
            <w:proofErr w:type="gramEnd"/>
            <w:r w:rsidR="00DD18EF" w:rsidRPr="00DD18EF">
              <w:rPr>
                <w:rFonts w:ascii="Arial" w:hAnsi="Arial" w:cs="Arial"/>
                <w:sz w:val="20"/>
              </w:rPr>
              <w:t xml:space="preserve"> and may raise queries with the supplying pharmacy.</w:t>
            </w:r>
            <w:r w:rsidR="00255893">
              <w:rPr>
                <w:rFonts w:ascii="Arial" w:hAnsi="Arial" w:cs="Arial"/>
                <w:sz w:val="20"/>
              </w:rPr>
              <w:t xml:space="preserve"> </w:t>
            </w:r>
          </w:p>
          <w:p w14:paraId="69E010F2" w14:textId="77777777" w:rsidR="00E9004D" w:rsidRDefault="00350A37" w:rsidP="00E9004D">
            <w:pPr>
              <w:ind w:left="720"/>
              <w:rPr>
                <w:rFonts w:ascii="Arial" w:hAnsi="Arial" w:cs="Arial"/>
                <w:sz w:val="20"/>
              </w:rPr>
            </w:pPr>
            <w:r w:rsidRPr="00350A37">
              <w:rPr>
                <w:rFonts w:ascii="Arial" w:hAnsi="Arial" w:cs="Arial"/>
                <w:b/>
                <w:sz w:val="20"/>
              </w:rPr>
              <w:t>5.1.4</w:t>
            </w:r>
            <w:r>
              <w:rPr>
                <w:rFonts w:ascii="Arial" w:hAnsi="Arial" w:cs="Arial"/>
                <w:sz w:val="20"/>
              </w:rPr>
              <w:t xml:space="preserve"> </w:t>
            </w:r>
            <w:r w:rsidR="00410285">
              <w:rPr>
                <w:rFonts w:ascii="Arial" w:hAnsi="Arial" w:cs="Arial"/>
                <w:sz w:val="20"/>
              </w:rPr>
              <w:t>If a pharmacy fails to provide the service on three consecutive occasions (unless there are extremely exc</w:t>
            </w:r>
            <w:r w:rsidR="001B1E68">
              <w:rPr>
                <w:rFonts w:ascii="Arial" w:hAnsi="Arial" w:cs="Arial"/>
                <w:sz w:val="20"/>
              </w:rPr>
              <w:t>eptional circumstances), the commissioner</w:t>
            </w:r>
            <w:r w:rsidR="00410285">
              <w:rPr>
                <w:rFonts w:ascii="Arial" w:hAnsi="Arial" w:cs="Arial"/>
                <w:sz w:val="20"/>
              </w:rPr>
              <w:t xml:space="preserve"> reserves the right to remove the service from that pharmacy</w:t>
            </w:r>
            <w:r w:rsidR="00731994">
              <w:rPr>
                <w:rFonts w:ascii="Arial" w:hAnsi="Arial" w:cs="Arial"/>
                <w:sz w:val="20"/>
              </w:rPr>
              <w:t>. If a pharmacy i</w:t>
            </w:r>
            <w:r w:rsidR="004C1ACE">
              <w:rPr>
                <w:rFonts w:ascii="Arial" w:hAnsi="Arial" w:cs="Arial"/>
                <w:sz w:val="20"/>
              </w:rPr>
              <w:t>s</w:t>
            </w:r>
            <w:r w:rsidR="00731994">
              <w:rPr>
                <w:rFonts w:ascii="Arial" w:hAnsi="Arial" w:cs="Arial"/>
                <w:sz w:val="20"/>
              </w:rPr>
              <w:t xml:space="preserve"> unable to provide the </w:t>
            </w:r>
            <w:proofErr w:type="gramStart"/>
            <w:r w:rsidR="001B1E68">
              <w:rPr>
                <w:rFonts w:ascii="Arial" w:hAnsi="Arial" w:cs="Arial"/>
                <w:sz w:val="20"/>
              </w:rPr>
              <w:t>service</w:t>
            </w:r>
            <w:proofErr w:type="gramEnd"/>
            <w:r w:rsidR="001B1E68">
              <w:rPr>
                <w:rFonts w:ascii="Arial" w:hAnsi="Arial" w:cs="Arial"/>
                <w:sz w:val="20"/>
              </w:rPr>
              <w:t xml:space="preserve"> they must inform the commissioner</w:t>
            </w:r>
            <w:r w:rsidR="00731994">
              <w:rPr>
                <w:rFonts w:ascii="Arial" w:hAnsi="Arial" w:cs="Arial"/>
                <w:sz w:val="20"/>
              </w:rPr>
              <w:t xml:space="preserve"> and also ensure that the </w:t>
            </w:r>
            <w:r w:rsidR="001B1E68">
              <w:rPr>
                <w:rFonts w:ascii="Arial" w:hAnsi="Arial" w:cs="Arial"/>
                <w:sz w:val="20"/>
              </w:rPr>
              <w:t>DOS team is</w:t>
            </w:r>
            <w:r w:rsidR="00731994">
              <w:rPr>
                <w:rFonts w:ascii="Arial" w:hAnsi="Arial" w:cs="Arial"/>
                <w:sz w:val="20"/>
              </w:rPr>
              <w:t xml:space="preserve"> made aware </w:t>
            </w:r>
            <w:r w:rsidR="004C1ACE">
              <w:rPr>
                <w:rFonts w:ascii="Arial" w:hAnsi="Arial" w:cs="Arial"/>
                <w:sz w:val="20"/>
              </w:rPr>
              <w:t xml:space="preserve">on the day (or in advance) </w:t>
            </w:r>
            <w:r w:rsidR="00731994">
              <w:rPr>
                <w:rFonts w:ascii="Arial" w:hAnsi="Arial" w:cs="Arial"/>
                <w:sz w:val="20"/>
              </w:rPr>
              <w:t>so that referrals from NHS111 can be temporarily suspended until usual service provision resumes.</w:t>
            </w:r>
            <w:r w:rsidR="000757F9">
              <w:rPr>
                <w:rFonts w:ascii="Arial" w:hAnsi="Arial" w:cs="Arial"/>
                <w:sz w:val="20"/>
              </w:rPr>
              <w:t xml:space="preserve"> Pharmacies must inform the DOS team when normal service resumes.</w:t>
            </w:r>
          </w:p>
          <w:p w14:paraId="477863D5" w14:textId="52955869" w:rsidR="00E9004D" w:rsidRDefault="00E9004D" w:rsidP="005C3101">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Clinical Incident Reporting</w:t>
            </w:r>
          </w:p>
          <w:p w14:paraId="33B6590E" w14:textId="77777777" w:rsidR="005C3101" w:rsidRPr="005C3101" w:rsidRDefault="005C3101" w:rsidP="005C3101">
            <w:pPr>
              <w:pStyle w:val="ListParagraph"/>
              <w:ind w:left="743"/>
              <w:rPr>
                <w:rFonts w:ascii="Arial" w:hAnsi="Arial" w:cs="Arial"/>
                <w:b/>
                <w:sz w:val="20"/>
                <w:szCs w:val="20"/>
                <w:lang w:eastAsia="ja-JP"/>
              </w:rPr>
            </w:pPr>
          </w:p>
          <w:p w14:paraId="05FF70E5" w14:textId="6E5B5C4A" w:rsidR="005C3101" w:rsidRPr="005C3101" w:rsidRDefault="00E9004D" w:rsidP="005C3101">
            <w:pPr>
              <w:ind w:left="720"/>
              <w:rPr>
                <w:rFonts w:ascii="Arial" w:hAnsi="Arial" w:cs="Arial"/>
                <w:color w:val="000000" w:themeColor="text1"/>
                <w:sz w:val="20"/>
              </w:rPr>
            </w:pPr>
            <w:r w:rsidRPr="005C3101">
              <w:rPr>
                <w:rFonts w:ascii="Arial" w:hAnsi="Arial" w:cs="Arial"/>
                <w:b/>
                <w:color w:val="000000" w:themeColor="text1"/>
                <w:sz w:val="20"/>
              </w:rPr>
              <w:t>5.2.1</w:t>
            </w:r>
            <w:r w:rsidR="00535987" w:rsidRPr="005C3101">
              <w:rPr>
                <w:rFonts w:ascii="Arial" w:hAnsi="Arial" w:cs="Arial"/>
                <w:color w:val="000000" w:themeColor="text1"/>
                <w:sz w:val="20"/>
              </w:rPr>
              <w:t xml:space="preserve"> </w:t>
            </w:r>
            <w:r w:rsidR="008D27AA" w:rsidRPr="005C3101">
              <w:rPr>
                <w:rFonts w:ascii="Arial" w:hAnsi="Arial" w:cs="Arial"/>
                <w:color w:val="000000" w:themeColor="text1"/>
                <w:sz w:val="20"/>
              </w:rPr>
              <w:t>C</w:t>
            </w:r>
            <w:r w:rsidR="00535987" w:rsidRPr="005C3101">
              <w:rPr>
                <w:rFonts w:ascii="Arial" w:hAnsi="Arial" w:cs="Arial"/>
                <w:color w:val="000000" w:themeColor="text1"/>
                <w:sz w:val="20"/>
              </w:rPr>
              <w:t xml:space="preserve">ontractors </w:t>
            </w:r>
            <w:r w:rsidR="008D27AA" w:rsidRPr="005C3101">
              <w:rPr>
                <w:rFonts w:ascii="Arial" w:hAnsi="Arial" w:cs="Arial"/>
                <w:color w:val="000000" w:themeColor="text1"/>
                <w:sz w:val="20"/>
              </w:rPr>
              <w:t>must feedback</w:t>
            </w:r>
            <w:r w:rsidR="00535987" w:rsidRPr="005C3101">
              <w:rPr>
                <w:rFonts w:ascii="Arial" w:hAnsi="Arial" w:cs="Arial"/>
                <w:color w:val="000000" w:themeColor="text1"/>
                <w:sz w:val="20"/>
              </w:rPr>
              <w:t xml:space="preserve"> any adverse incidents that occur to </w:t>
            </w:r>
            <w:r w:rsidR="001B1E68" w:rsidRPr="005C3101">
              <w:rPr>
                <w:rFonts w:ascii="Arial" w:hAnsi="Arial" w:cs="Arial"/>
                <w:color w:val="000000" w:themeColor="text1"/>
                <w:sz w:val="20"/>
              </w:rPr>
              <w:t>the commissioner</w:t>
            </w:r>
            <w:r w:rsidR="008D27AA" w:rsidRPr="005C3101">
              <w:rPr>
                <w:rFonts w:ascii="Arial" w:hAnsi="Arial" w:cs="Arial"/>
                <w:color w:val="000000" w:themeColor="text1"/>
                <w:sz w:val="20"/>
              </w:rPr>
              <w:t xml:space="preserve"> via</w:t>
            </w:r>
            <w:r w:rsidR="001B1E68" w:rsidRPr="005C3101">
              <w:rPr>
                <w:rFonts w:ascii="Arial" w:hAnsi="Arial" w:cs="Arial"/>
                <w:color w:val="000000" w:themeColor="text1"/>
                <w:sz w:val="20"/>
              </w:rPr>
              <w:t xml:space="preserve"> PharmOutcomes, or directly via </w:t>
            </w:r>
            <w:hyperlink r:id="rId18" w:history="1">
              <w:r w:rsidR="007A5EC7" w:rsidRPr="0001181F">
                <w:rPr>
                  <w:rStyle w:val="Hyperlink"/>
                  <w:rFonts w:ascii="Arial" w:hAnsi="Arial" w:cs="Arial"/>
                  <w:sz w:val="20"/>
                </w:rPr>
                <w:t>bswicb.prescribing@nhs.net</w:t>
              </w:r>
            </w:hyperlink>
          </w:p>
          <w:p w14:paraId="6AC087CC" w14:textId="77777777" w:rsidR="00535987" w:rsidRDefault="00E9004D" w:rsidP="005C3101">
            <w:pPr>
              <w:ind w:left="720"/>
              <w:rPr>
                <w:rFonts w:ascii="Arial" w:hAnsi="Arial" w:cs="Arial"/>
                <w:sz w:val="20"/>
              </w:rPr>
            </w:pPr>
            <w:proofErr w:type="gramStart"/>
            <w:r w:rsidRPr="00E9004D">
              <w:rPr>
                <w:rFonts w:ascii="Arial" w:hAnsi="Arial" w:cs="Arial"/>
                <w:b/>
                <w:sz w:val="20"/>
              </w:rPr>
              <w:t>5.2.2</w:t>
            </w:r>
            <w:r>
              <w:rPr>
                <w:rFonts w:ascii="Arial" w:hAnsi="Arial" w:cs="Arial"/>
                <w:sz w:val="20"/>
              </w:rPr>
              <w:t xml:space="preserve"> </w:t>
            </w:r>
            <w:r w:rsidR="00535987" w:rsidRPr="00535987">
              <w:rPr>
                <w:rFonts w:ascii="Arial" w:hAnsi="Arial" w:cs="Arial"/>
                <w:sz w:val="20"/>
              </w:rPr>
              <w:t xml:space="preserve"> Any</w:t>
            </w:r>
            <w:proofErr w:type="gramEnd"/>
            <w:r w:rsidR="00535987" w:rsidRPr="00535987">
              <w:rPr>
                <w:rFonts w:ascii="Arial" w:hAnsi="Arial" w:cs="Arial"/>
                <w:sz w:val="20"/>
              </w:rPr>
              <w:t xml:space="preserve"> serious incidents will be dealt with in a</w:t>
            </w:r>
            <w:r w:rsidR="00A133DF">
              <w:rPr>
                <w:rFonts w:ascii="Arial" w:hAnsi="Arial" w:cs="Arial"/>
                <w:sz w:val="20"/>
              </w:rPr>
              <w:t xml:space="preserve">ccordance with the relevant provider/commissioner </w:t>
            </w:r>
            <w:r w:rsidR="00535987" w:rsidRPr="00535987">
              <w:rPr>
                <w:rFonts w:ascii="Arial" w:hAnsi="Arial" w:cs="Arial"/>
                <w:sz w:val="20"/>
              </w:rPr>
              <w:t>polic</w:t>
            </w:r>
            <w:r w:rsidR="00A133DF">
              <w:rPr>
                <w:rFonts w:ascii="Arial" w:hAnsi="Arial" w:cs="Arial"/>
                <w:sz w:val="20"/>
              </w:rPr>
              <w:t>ies</w:t>
            </w:r>
          </w:p>
          <w:p w14:paraId="1BE1809B" w14:textId="26476EF6" w:rsidR="00E9004D" w:rsidRPr="005C3101" w:rsidRDefault="008D27AA" w:rsidP="005C3101">
            <w:pPr>
              <w:ind w:left="720"/>
              <w:rPr>
                <w:rFonts w:ascii="Arial" w:hAnsi="Arial" w:cs="Arial"/>
                <w:sz w:val="20"/>
              </w:rPr>
            </w:pPr>
            <w:r>
              <w:rPr>
                <w:rFonts w:ascii="Arial" w:hAnsi="Arial" w:cs="Arial"/>
                <w:b/>
                <w:sz w:val="20"/>
              </w:rPr>
              <w:t xml:space="preserve">5.2.3 </w:t>
            </w:r>
            <w:r w:rsidRPr="008D27AA">
              <w:rPr>
                <w:rFonts w:ascii="Arial" w:hAnsi="Arial" w:cs="Arial"/>
                <w:sz w:val="20"/>
              </w:rPr>
              <w:t>In the event of a</w:t>
            </w:r>
            <w:r w:rsidR="001A3A29">
              <w:rPr>
                <w:rFonts w:ascii="Arial" w:hAnsi="Arial" w:cs="Arial"/>
                <w:sz w:val="20"/>
              </w:rPr>
              <w:t xml:space="preserve"> clinical</w:t>
            </w:r>
            <w:r w:rsidRPr="008D27AA">
              <w:rPr>
                <w:rFonts w:ascii="Arial" w:hAnsi="Arial" w:cs="Arial"/>
                <w:sz w:val="20"/>
              </w:rPr>
              <w:t xml:space="preserve"> incident</w:t>
            </w:r>
            <w:r w:rsidR="00662F35">
              <w:rPr>
                <w:rFonts w:ascii="Arial" w:hAnsi="Arial" w:cs="Arial"/>
                <w:sz w:val="20"/>
              </w:rPr>
              <w:t>/adverse event</w:t>
            </w:r>
            <w:r w:rsidRPr="008D27AA">
              <w:rPr>
                <w:rFonts w:ascii="Arial" w:hAnsi="Arial" w:cs="Arial"/>
                <w:sz w:val="20"/>
              </w:rPr>
              <w:t>, the patient’</w:t>
            </w:r>
            <w:r w:rsidR="004F70ED">
              <w:rPr>
                <w:rFonts w:ascii="Arial" w:hAnsi="Arial" w:cs="Arial"/>
                <w:sz w:val="20"/>
              </w:rPr>
              <w:t>s GP should</w:t>
            </w:r>
            <w:r w:rsidRPr="008D27AA">
              <w:rPr>
                <w:rFonts w:ascii="Arial" w:hAnsi="Arial" w:cs="Arial"/>
                <w:sz w:val="20"/>
              </w:rPr>
              <w:t xml:space="preserve"> be informed.</w:t>
            </w:r>
            <w:r>
              <w:rPr>
                <w:rFonts w:ascii="Arial" w:hAnsi="Arial" w:cs="Arial"/>
                <w:b/>
                <w:sz w:val="20"/>
              </w:rPr>
              <w:t xml:space="preserve"> </w:t>
            </w:r>
          </w:p>
          <w:p w14:paraId="1A01633A" w14:textId="6D715FF5" w:rsidR="00044D77" w:rsidRPr="000E51EF" w:rsidRDefault="00E9004D" w:rsidP="00044D77">
            <w:pPr>
              <w:pStyle w:val="ListParagraph"/>
              <w:numPr>
                <w:ilvl w:val="1"/>
                <w:numId w:val="3"/>
              </w:numPr>
              <w:ind w:left="743" w:hanging="743"/>
              <w:rPr>
                <w:rFonts w:ascii="Arial" w:hAnsi="Arial" w:cs="Arial"/>
                <w:b/>
                <w:sz w:val="20"/>
                <w:szCs w:val="20"/>
                <w:lang w:eastAsia="ja-JP"/>
              </w:rPr>
            </w:pPr>
            <w:r>
              <w:rPr>
                <w:rFonts w:ascii="Arial" w:hAnsi="Arial" w:cs="Arial"/>
                <w:b/>
                <w:sz w:val="20"/>
                <w:szCs w:val="20"/>
                <w:lang w:eastAsia="ja-JP"/>
              </w:rPr>
              <w:t>Complaints Procedure</w:t>
            </w:r>
          </w:p>
          <w:p w14:paraId="2B978DD5" w14:textId="77777777" w:rsidR="00E9004D" w:rsidRPr="00E9004D" w:rsidRDefault="00E9004D" w:rsidP="00E9004D">
            <w:pPr>
              <w:pStyle w:val="ListParagraph"/>
              <w:ind w:left="743"/>
              <w:rPr>
                <w:rFonts w:ascii="Arial" w:hAnsi="Arial" w:cs="Arial"/>
                <w:b/>
                <w:sz w:val="20"/>
                <w:szCs w:val="20"/>
                <w:lang w:eastAsia="ja-JP"/>
              </w:rPr>
            </w:pPr>
          </w:p>
          <w:p w14:paraId="7028E830" w14:textId="5097DF96" w:rsidR="00E9004D" w:rsidRPr="000E51EF" w:rsidRDefault="00E9004D" w:rsidP="00E9004D">
            <w:pPr>
              <w:pStyle w:val="ListParagraph"/>
              <w:rPr>
                <w:rFonts w:ascii="Arial" w:hAnsi="Arial" w:cs="Arial"/>
                <w:color w:val="000000" w:themeColor="text1"/>
                <w:sz w:val="20"/>
                <w:szCs w:val="20"/>
              </w:rPr>
            </w:pPr>
            <w:r w:rsidRPr="000E51EF">
              <w:rPr>
                <w:rFonts w:ascii="Arial" w:hAnsi="Arial" w:cs="Arial"/>
                <w:b/>
                <w:color w:val="000000" w:themeColor="text1"/>
                <w:sz w:val="20"/>
                <w:szCs w:val="20"/>
              </w:rPr>
              <w:t>5.3.1</w:t>
            </w:r>
            <w:r w:rsidRPr="000E51EF">
              <w:rPr>
                <w:rFonts w:ascii="Arial" w:hAnsi="Arial" w:cs="Arial"/>
                <w:color w:val="000000" w:themeColor="text1"/>
                <w:sz w:val="20"/>
                <w:szCs w:val="20"/>
              </w:rPr>
              <w:t xml:space="preserve"> </w:t>
            </w:r>
            <w:r w:rsidR="00535987" w:rsidRPr="000E51EF">
              <w:rPr>
                <w:rFonts w:ascii="Arial" w:hAnsi="Arial" w:cs="Arial"/>
                <w:color w:val="000000" w:themeColor="text1"/>
                <w:sz w:val="20"/>
                <w:szCs w:val="20"/>
              </w:rPr>
              <w:t>Any complaints from patients shoul</w:t>
            </w:r>
            <w:r w:rsidR="00A133DF" w:rsidRPr="000E51EF">
              <w:rPr>
                <w:rFonts w:ascii="Arial" w:hAnsi="Arial" w:cs="Arial"/>
                <w:color w:val="000000" w:themeColor="text1"/>
                <w:sz w:val="20"/>
                <w:szCs w:val="20"/>
              </w:rPr>
              <w:t>d be dealt with via the provider’s</w:t>
            </w:r>
            <w:r w:rsidR="00535987" w:rsidRPr="000E51EF">
              <w:rPr>
                <w:rFonts w:ascii="Arial" w:hAnsi="Arial" w:cs="Arial"/>
                <w:color w:val="000000" w:themeColor="text1"/>
                <w:sz w:val="20"/>
                <w:szCs w:val="20"/>
              </w:rPr>
              <w:t xml:space="preserve"> own standard complaints procedure in the first instance. If the complaint is not resolved, the patient should direct their complaint to </w:t>
            </w:r>
            <w:r w:rsidR="000E51EF" w:rsidRPr="000E51EF">
              <w:rPr>
                <w:rFonts w:ascii="Arial" w:hAnsi="Arial" w:cs="Arial"/>
                <w:color w:val="000000" w:themeColor="text1"/>
                <w:sz w:val="20"/>
                <w:szCs w:val="20"/>
              </w:rPr>
              <w:t xml:space="preserve">the BSW </w:t>
            </w:r>
            <w:r w:rsidR="000E51EF" w:rsidRPr="000E51EF">
              <w:rPr>
                <w:rStyle w:val="Strong"/>
                <w:rFonts w:ascii="Arial" w:hAnsi="Arial" w:cs="Arial"/>
                <w:color w:val="000000" w:themeColor="text1"/>
                <w:spacing w:val="15"/>
                <w:sz w:val="20"/>
                <w:szCs w:val="20"/>
                <w:shd w:val="clear" w:color="auto" w:fill="FFFFFF"/>
              </w:rPr>
              <w:t>Patient Advice and Liaison Service (PALS) and Complaints Service</w:t>
            </w:r>
          </w:p>
          <w:p w14:paraId="6C606209" w14:textId="77777777" w:rsidR="00E9004D" w:rsidRPr="000E51EF" w:rsidRDefault="00E9004D" w:rsidP="00E9004D">
            <w:pPr>
              <w:pStyle w:val="ListParagraph"/>
              <w:rPr>
                <w:rFonts w:ascii="Arial" w:hAnsi="Arial" w:cs="Arial"/>
                <w:color w:val="000000" w:themeColor="text1"/>
                <w:sz w:val="20"/>
                <w:szCs w:val="20"/>
              </w:rPr>
            </w:pPr>
          </w:p>
          <w:p w14:paraId="489DE2FD" w14:textId="46DFD859" w:rsidR="00E9004D" w:rsidRPr="000E51EF" w:rsidRDefault="00E9004D" w:rsidP="00E9004D">
            <w:pPr>
              <w:pStyle w:val="ListParagraph"/>
              <w:rPr>
                <w:rFonts w:ascii="Arial" w:hAnsi="Arial" w:cs="Arial"/>
                <w:color w:val="000000" w:themeColor="text1"/>
                <w:sz w:val="20"/>
                <w:szCs w:val="20"/>
              </w:rPr>
            </w:pPr>
            <w:r w:rsidRPr="000E51EF">
              <w:rPr>
                <w:rFonts w:ascii="Arial" w:hAnsi="Arial" w:cs="Arial"/>
                <w:color w:val="000000" w:themeColor="text1"/>
                <w:sz w:val="20"/>
                <w:szCs w:val="20"/>
              </w:rPr>
              <w:t xml:space="preserve">Tel: </w:t>
            </w:r>
            <w:r w:rsidR="000E51EF" w:rsidRPr="000E51EF">
              <w:rPr>
                <w:rStyle w:val="Strong"/>
                <w:rFonts w:ascii="Arial" w:hAnsi="Arial" w:cs="Arial"/>
                <w:color w:val="000000" w:themeColor="text1"/>
                <w:spacing w:val="15"/>
                <w:sz w:val="20"/>
                <w:szCs w:val="20"/>
                <w:shd w:val="clear" w:color="auto" w:fill="FFFFFF"/>
              </w:rPr>
              <w:t>0300 561 0250</w:t>
            </w:r>
          </w:p>
          <w:p w14:paraId="6C19D727" w14:textId="77777777" w:rsidR="00E9004D" w:rsidRPr="000E51EF" w:rsidRDefault="00E9004D" w:rsidP="00E9004D">
            <w:pPr>
              <w:pStyle w:val="ListParagraph"/>
              <w:rPr>
                <w:rFonts w:ascii="Arial" w:hAnsi="Arial" w:cs="Arial"/>
                <w:color w:val="000000" w:themeColor="text1"/>
                <w:sz w:val="20"/>
                <w:szCs w:val="20"/>
              </w:rPr>
            </w:pPr>
          </w:p>
          <w:p w14:paraId="18E60266" w14:textId="6DD48183" w:rsidR="00E9004D" w:rsidRPr="000E51EF" w:rsidRDefault="00E9004D" w:rsidP="00E9004D">
            <w:pPr>
              <w:pStyle w:val="ListParagraph"/>
              <w:rPr>
                <w:rFonts w:ascii="Arial" w:eastAsiaTheme="minorEastAsia" w:hAnsi="Arial" w:cs="Arial"/>
                <w:color w:val="000000" w:themeColor="text1"/>
                <w:sz w:val="20"/>
                <w:szCs w:val="20"/>
                <w:lang w:val="en-US" w:eastAsia="ja-JP"/>
              </w:rPr>
            </w:pPr>
            <w:r w:rsidRPr="000E51EF">
              <w:rPr>
                <w:rFonts w:ascii="Arial" w:hAnsi="Arial" w:cs="Arial"/>
                <w:color w:val="000000" w:themeColor="text1"/>
                <w:sz w:val="20"/>
                <w:szCs w:val="20"/>
              </w:rPr>
              <w:t xml:space="preserve">Email: </w:t>
            </w:r>
            <w:hyperlink r:id="rId19" w:history="1">
              <w:r w:rsidR="000E51EF" w:rsidRPr="000E51EF">
                <w:rPr>
                  <w:rFonts w:ascii="Arial" w:eastAsiaTheme="minorEastAsia" w:hAnsi="Arial" w:cs="Arial"/>
                  <w:color w:val="000000" w:themeColor="text1"/>
                  <w:spacing w:val="15"/>
                  <w:sz w:val="20"/>
                  <w:szCs w:val="20"/>
                  <w:u w:val="single"/>
                  <w:shd w:val="clear" w:color="auto" w:fill="FFFFFF"/>
                  <w:lang w:val="en-US" w:eastAsia="ja-JP"/>
                </w:rPr>
                <w:t>scwcsu.palscomplaints@nhs.net</w:t>
              </w:r>
            </w:hyperlink>
          </w:p>
          <w:p w14:paraId="77DEC521" w14:textId="77777777" w:rsidR="00637269" w:rsidRDefault="00637269">
            <w:pPr>
              <w:spacing w:after="0"/>
              <w:rPr>
                <w:rFonts w:ascii="Arial" w:hAnsi="Arial" w:cs="Arial"/>
                <w:sz w:val="20"/>
              </w:rPr>
            </w:pPr>
          </w:p>
        </w:tc>
      </w:tr>
      <w:tr w:rsidR="0066298A" w14:paraId="6924CE86" w14:textId="77777777" w:rsidTr="000E51EF">
        <w:tc>
          <w:tcPr>
            <w:tcW w:w="8908" w:type="dxa"/>
            <w:tcBorders>
              <w:top w:val="single" w:sz="4" w:space="0" w:color="auto"/>
              <w:left w:val="single" w:sz="4" w:space="0" w:color="auto"/>
              <w:bottom w:val="single" w:sz="4" w:space="0" w:color="auto"/>
              <w:right w:val="single" w:sz="4" w:space="0" w:color="auto"/>
            </w:tcBorders>
          </w:tcPr>
          <w:p w14:paraId="4915C992" w14:textId="4913E6FC" w:rsidR="0066298A" w:rsidRDefault="0066298A" w:rsidP="0066298A">
            <w:pPr>
              <w:spacing w:after="0"/>
              <w:rPr>
                <w:rFonts w:ascii="Arial" w:eastAsia="Times New Roman" w:hAnsi="Arial" w:cs="Arial"/>
                <w:b/>
                <w:sz w:val="20"/>
              </w:rPr>
            </w:pPr>
            <w:r w:rsidRPr="0066298A">
              <w:rPr>
                <w:rFonts w:ascii="Arial" w:eastAsia="Times New Roman" w:hAnsi="Arial" w:cs="Arial"/>
                <w:b/>
                <w:sz w:val="20"/>
              </w:rPr>
              <w:lastRenderedPageBreak/>
              <w:t>The Provider’s Premises are located at:</w:t>
            </w:r>
          </w:p>
          <w:p w14:paraId="1B912492" w14:textId="2A34B268" w:rsidR="0066298A" w:rsidRDefault="0066298A" w:rsidP="0066298A">
            <w:pPr>
              <w:spacing w:after="0"/>
              <w:rPr>
                <w:rFonts w:ascii="Arial" w:eastAsia="Times New Roman" w:hAnsi="Arial" w:cs="Arial"/>
                <w:b/>
                <w:sz w:val="20"/>
              </w:rPr>
            </w:pPr>
            <w:commentRangeStart w:id="2"/>
          </w:p>
          <w:p w14:paraId="42AD108E" w14:textId="2D8A311A" w:rsidR="0066298A" w:rsidRPr="0066298A" w:rsidRDefault="0066298A" w:rsidP="0066298A">
            <w:pPr>
              <w:spacing w:after="0"/>
              <w:rPr>
                <w:rFonts w:ascii="Arial" w:eastAsia="Times New Roman" w:hAnsi="Arial" w:cs="Arial"/>
                <w:bCs/>
                <w:sz w:val="20"/>
              </w:rPr>
            </w:pPr>
            <w:r w:rsidRPr="0066298A">
              <w:rPr>
                <w:rFonts w:ascii="Arial" w:eastAsia="Times New Roman" w:hAnsi="Arial" w:cs="Arial"/>
                <w:bCs/>
                <w:sz w:val="20"/>
                <w:highlight w:val="yellow"/>
              </w:rPr>
              <w:t>Insert address</w:t>
            </w:r>
            <w:commentRangeEnd w:id="2"/>
            <w:r w:rsidR="007A5EC7">
              <w:rPr>
                <w:rStyle w:val="CommentReference"/>
              </w:rPr>
              <w:commentReference w:id="2"/>
            </w:r>
          </w:p>
          <w:p w14:paraId="763BA48E" w14:textId="77777777" w:rsidR="0066298A" w:rsidRDefault="0066298A">
            <w:pPr>
              <w:spacing w:after="0"/>
              <w:rPr>
                <w:rFonts w:ascii="Arial" w:hAnsi="Arial" w:cs="Arial"/>
                <w:sz w:val="20"/>
              </w:rPr>
            </w:pPr>
          </w:p>
        </w:tc>
      </w:tr>
    </w:tbl>
    <w:p w14:paraId="3B5637CF" w14:textId="77777777" w:rsidR="0023386A" w:rsidRDefault="0023386A" w:rsidP="00EF0992">
      <w:pPr>
        <w:rPr>
          <w:u w:val="single"/>
        </w:rPr>
      </w:pPr>
    </w:p>
    <w:p w14:paraId="78E75AFA" w14:textId="77777777" w:rsidR="00CF0C29" w:rsidRDefault="00CF0C29" w:rsidP="00EF0992">
      <w:pPr>
        <w:rPr>
          <w:u w:val="single"/>
        </w:rPr>
      </w:pPr>
    </w:p>
    <w:p w14:paraId="5AF0DF41" w14:textId="77777777" w:rsidR="00CF0C29" w:rsidRDefault="00CF0C29" w:rsidP="00EF0992">
      <w:pPr>
        <w:rPr>
          <w:u w:val="single"/>
        </w:rPr>
      </w:pPr>
    </w:p>
    <w:p w14:paraId="6A177EF5" w14:textId="77777777" w:rsidR="00CF0C29" w:rsidRDefault="00CF0C29" w:rsidP="00EF0992">
      <w:pPr>
        <w:rPr>
          <w:u w:val="single"/>
        </w:rPr>
      </w:pPr>
    </w:p>
    <w:p w14:paraId="7FB87A9C" w14:textId="77777777" w:rsidR="00CF0C29" w:rsidRDefault="00CF0C29" w:rsidP="00EF0992">
      <w:pPr>
        <w:rPr>
          <w:u w:val="single"/>
        </w:rPr>
      </w:pPr>
    </w:p>
    <w:p w14:paraId="5C38FC6F" w14:textId="77777777" w:rsidR="00CF0C29" w:rsidRDefault="00CF0C29" w:rsidP="00EF0992">
      <w:pPr>
        <w:rPr>
          <w:u w:val="single"/>
        </w:rPr>
      </w:pPr>
    </w:p>
    <w:p w14:paraId="586A71D8" w14:textId="77777777" w:rsidR="00CF0C29" w:rsidRDefault="00CF0C29" w:rsidP="00EF0992">
      <w:pPr>
        <w:rPr>
          <w:u w:val="single"/>
        </w:rPr>
      </w:pPr>
    </w:p>
    <w:p w14:paraId="0408F484" w14:textId="77777777" w:rsidR="00CF0C29" w:rsidRDefault="00CF0C29" w:rsidP="00EF0992">
      <w:pPr>
        <w:rPr>
          <w:u w:val="single"/>
        </w:rPr>
      </w:pPr>
    </w:p>
    <w:p w14:paraId="1D7C97EF" w14:textId="77777777" w:rsidR="00CF0C29" w:rsidRDefault="00CF0C29" w:rsidP="00EF0992">
      <w:pPr>
        <w:rPr>
          <w:u w:val="single"/>
        </w:rPr>
      </w:pPr>
    </w:p>
    <w:p w14:paraId="7D529F79" w14:textId="77777777" w:rsidR="00CF0C29" w:rsidRDefault="00CF0C29" w:rsidP="00EF0992">
      <w:pPr>
        <w:rPr>
          <w:u w:val="single"/>
        </w:rPr>
      </w:pPr>
    </w:p>
    <w:p w14:paraId="27D184F7" w14:textId="77777777" w:rsidR="00CF0C29" w:rsidRPr="00CF0C29" w:rsidRDefault="00CF0C29" w:rsidP="00CF0C29">
      <w:pPr>
        <w:rPr>
          <w:rFonts w:ascii="Arial" w:hAnsi="Arial" w:cs="Arial"/>
          <w:b/>
          <w:bCs/>
          <w:sz w:val="22"/>
          <w:szCs w:val="22"/>
          <w:u w:val="single"/>
        </w:rPr>
      </w:pPr>
      <w:r w:rsidRPr="00CF0C29">
        <w:rPr>
          <w:rFonts w:ascii="Arial" w:hAnsi="Arial" w:cs="Arial"/>
          <w:b/>
          <w:bCs/>
          <w:sz w:val="22"/>
          <w:szCs w:val="22"/>
          <w:u w:val="single"/>
        </w:rPr>
        <w:lastRenderedPageBreak/>
        <w:t>Payment Schedule</w:t>
      </w:r>
    </w:p>
    <w:p w14:paraId="2BE6B998" w14:textId="57AF9137" w:rsidR="00CF0C29" w:rsidRPr="00CF0C29" w:rsidRDefault="00CF0C29" w:rsidP="00CF0C29">
      <w:pPr>
        <w:pStyle w:val="ListParagraph"/>
        <w:numPr>
          <w:ilvl w:val="0"/>
          <w:numId w:val="16"/>
        </w:numPr>
        <w:rPr>
          <w:rFonts w:ascii="Arial" w:hAnsi="Arial" w:cs="Arial"/>
          <w:sz w:val="22"/>
          <w:szCs w:val="22"/>
          <w:u w:val="single"/>
        </w:rPr>
      </w:pPr>
      <w:r w:rsidRPr="00CF0C29">
        <w:rPr>
          <w:rFonts w:ascii="Arial" w:hAnsi="Arial" w:cs="Arial"/>
          <w:sz w:val="22"/>
          <w:szCs w:val="22"/>
        </w:rPr>
        <w:t xml:space="preserve">For patients presenting directly at the pharmacy (outside of NHS111 or </w:t>
      </w:r>
      <w:r>
        <w:rPr>
          <w:rFonts w:ascii="Arial" w:hAnsi="Arial" w:cs="Arial"/>
          <w:sz w:val="22"/>
          <w:szCs w:val="22"/>
        </w:rPr>
        <w:t>Pharmacy First</w:t>
      </w:r>
      <w:r w:rsidRPr="00CF0C29">
        <w:rPr>
          <w:rFonts w:ascii="Arial" w:hAnsi="Arial" w:cs="Arial"/>
          <w:sz w:val="22"/>
          <w:szCs w:val="22"/>
        </w:rPr>
        <w:t xml:space="preserve">), the commissioner will pay the </w:t>
      </w:r>
      <w:proofErr w:type="gramStart"/>
      <w:r w:rsidRPr="00CF0C29">
        <w:rPr>
          <w:rFonts w:ascii="Arial" w:hAnsi="Arial" w:cs="Arial"/>
          <w:sz w:val="22"/>
          <w:szCs w:val="22"/>
        </w:rPr>
        <w:t>pharmacy</w:t>
      </w:r>
      <w:proofErr w:type="gramEnd"/>
    </w:p>
    <w:p w14:paraId="4D6AC918" w14:textId="38FD3FC6" w:rsidR="00CF0C29" w:rsidRPr="00CF0C29" w:rsidRDefault="00CF0C29" w:rsidP="00CF0C29">
      <w:pPr>
        <w:pStyle w:val="ListParagraph"/>
        <w:numPr>
          <w:ilvl w:val="1"/>
          <w:numId w:val="16"/>
        </w:numPr>
        <w:rPr>
          <w:rFonts w:ascii="Arial" w:hAnsi="Arial" w:cs="Arial"/>
          <w:sz w:val="22"/>
          <w:szCs w:val="22"/>
          <w:u w:val="single"/>
        </w:rPr>
      </w:pPr>
      <w:r w:rsidRPr="00CF0C29">
        <w:rPr>
          <w:rFonts w:ascii="Arial" w:hAnsi="Arial" w:cs="Arial"/>
          <w:sz w:val="22"/>
          <w:szCs w:val="22"/>
        </w:rPr>
        <w:t>£1</w:t>
      </w:r>
      <w:r>
        <w:rPr>
          <w:rFonts w:ascii="Arial" w:hAnsi="Arial" w:cs="Arial"/>
          <w:sz w:val="22"/>
          <w:szCs w:val="22"/>
        </w:rPr>
        <w:t>5</w:t>
      </w:r>
      <w:r w:rsidRPr="00CF0C29">
        <w:rPr>
          <w:rFonts w:ascii="Arial" w:hAnsi="Arial" w:cs="Arial"/>
          <w:sz w:val="22"/>
          <w:szCs w:val="22"/>
        </w:rPr>
        <w:t xml:space="preserve"> per consultation plus</w:t>
      </w:r>
    </w:p>
    <w:p w14:paraId="14B1857F" w14:textId="77777777" w:rsidR="00CF0C29" w:rsidRPr="00CF0C29" w:rsidRDefault="00CF0C29" w:rsidP="00CF0C29">
      <w:pPr>
        <w:pStyle w:val="ListParagraph"/>
        <w:numPr>
          <w:ilvl w:val="1"/>
          <w:numId w:val="16"/>
        </w:numPr>
        <w:rPr>
          <w:rFonts w:ascii="Arial" w:hAnsi="Arial" w:cs="Arial"/>
          <w:sz w:val="22"/>
          <w:szCs w:val="22"/>
          <w:u w:val="single"/>
        </w:rPr>
      </w:pPr>
      <w:r w:rsidRPr="00CF0C29">
        <w:rPr>
          <w:rFonts w:ascii="Arial" w:hAnsi="Arial" w:cs="Arial"/>
          <w:sz w:val="22"/>
          <w:szCs w:val="22"/>
        </w:rPr>
        <w:t xml:space="preserve">The cost of the medicines (using </w:t>
      </w:r>
      <w:proofErr w:type="spellStart"/>
      <w:r w:rsidRPr="00CF0C29">
        <w:rPr>
          <w:rFonts w:ascii="Arial" w:hAnsi="Arial" w:cs="Arial"/>
          <w:sz w:val="22"/>
          <w:szCs w:val="22"/>
        </w:rPr>
        <w:t>dm+d</w:t>
      </w:r>
      <w:proofErr w:type="spellEnd"/>
      <w:r w:rsidRPr="00CF0C29">
        <w:rPr>
          <w:rFonts w:ascii="Arial" w:hAnsi="Arial" w:cs="Arial"/>
          <w:sz w:val="22"/>
          <w:szCs w:val="22"/>
        </w:rPr>
        <w:t>) + VAT (where applicable)</w:t>
      </w:r>
    </w:p>
    <w:p w14:paraId="795B2290" w14:textId="77777777" w:rsidR="00CF0C29" w:rsidRPr="00CF0C29" w:rsidRDefault="00CF0C29" w:rsidP="00CF0C29">
      <w:pPr>
        <w:pStyle w:val="ListParagraph"/>
        <w:numPr>
          <w:ilvl w:val="1"/>
          <w:numId w:val="16"/>
        </w:numPr>
        <w:rPr>
          <w:rFonts w:ascii="Arial" w:hAnsi="Arial" w:cs="Arial"/>
          <w:sz w:val="22"/>
          <w:szCs w:val="22"/>
          <w:u w:val="single"/>
        </w:rPr>
      </w:pPr>
      <w:r w:rsidRPr="00CF0C29">
        <w:rPr>
          <w:rFonts w:ascii="Arial" w:hAnsi="Arial" w:cs="Arial"/>
          <w:sz w:val="22"/>
          <w:szCs w:val="22"/>
        </w:rPr>
        <w:t>Minus any prescription charges collected (if applicable)</w:t>
      </w:r>
    </w:p>
    <w:p w14:paraId="3849EED1" w14:textId="77777777" w:rsidR="00CF0C29" w:rsidRPr="00CF0C29" w:rsidRDefault="00CF0C29" w:rsidP="00CF0C29">
      <w:pPr>
        <w:pStyle w:val="ListParagraph"/>
        <w:ind w:left="1440"/>
        <w:rPr>
          <w:rFonts w:ascii="Arial" w:hAnsi="Arial" w:cs="Arial"/>
          <w:sz w:val="22"/>
          <w:szCs w:val="22"/>
        </w:rPr>
      </w:pPr>
    </w:p>
    <w:p w14:paraId="075B8F30" w14:textId="77777777" w:rsidR="00CF0C29" w:rsidRPr="00CF0C29" w:rsidRDefault="00CF0C29" w:rsidP="00CF0C29">
      <w:pPr>
        <w:pStyle w:val="ListParagraph"/>
        <w:numPr>
          <w:ilvl w:val="0"/>
          <w:numId w:val="16"/>
        </w:numPr>
        <w:rPr>
          <w:rFonts w:ascii="Arial" w:hAnsi="Arial" w:cs="Arial"/>
          <w:sz w:val="22"/>
          <w:szCs w:val="22"/>
        </w:rPr>
      </w:pPr>
      <w:r w:rsidRPr="00CF0C29">
        <w:rPr>
          <w:rFonts w:ascii="Arial" w:hAnsi="Arial" w:cs="Arial"/>
          <w:sz w:val="22"/>
          <w:szCs w:val="22"/>
        </w:rPr>
        <w:t xml:space="preserve">For patients coming into the PGD service via NHS111 or GP CPCS services, the commissioner will pay the </w:t>
      </w:r>
      <w:proofErr w:type="gramStart"/>
      <w:r w:rsidRPr="00CF0C29">
        <w:rPr>
          <w:rFonts w:ascii="Arial" w:hAnsi="Arial" w:cs="Arial"/>
          <w:sz w:val="22"/>
          <w:szCs w:val="22"/>
        </w:rPr>
        <w:t>pharmacy</w:t>
      </w:r>
      <w:proofErr w:type="gramEnd"/>
    </w:p>
    <w:p w14:paraId="5E90CDF2" w14:textId="7CE50CA2" w:rsidR="00CF0C29" w:rsidRPr="00CF0C29" w:rsidRDefault="00CF0C29" w:rsidP="00CF0C29">
      <w:pPr>
        <w:pStyle w:val="ListParagraph"/>
        <w:numPr>
          <w:ilvl w:val="1"/>
          <w:numId w:val="16"/>
        </w:numPr>
        <w:rPr>
          <w:rFonts w:ascii="Arial" w:hAnsi="Arial" w:cs="Arial"/>
          <w:sz w:val="22"/>
          <w:szCs w:val="22"/>
        </w:rPr>
      </w:pPr>
      <w:r w:rsidRPr="00CF0C29">
        <w:rPr>
          <w:rFonts w:ascii="Arial" w:hAnsi="Arial" w:cs="Arial"/>
          <w:sz w:val="22"/>
          <w:szCs w:val="22"/>
        </w:rPr>
        <w:t>£5.90 per consultation (the £1</w:t>
      </w:r>
      <w:r>
        <w:rPr>
          <w:rFonts w:ascii="Arial" w:hAnsi="Arial" w:cs="Arial"/>
          <w:sz w:val="22"/>
          <w:szCs w:val="22"/>
        </w:rPr>
        <w:t>5</w:t>
      </w:r>
      <w:r w:rsidRPr="00CF0C29">
        <w:rPr>
          <w:rFonts w:ascii="Arial" w:hAnsi="Arial" w:cs="Arial"/>
          <w:sz w:val="22"/>
          <w:szCs w:val="22"/>
        </w:rPr>
        <w:t xml:space="preserve"> </w:t>
      </w:r>
      <w:r>
        <w:rPr>
          <w:rFonts w:ascii="Arial" w:hAnsi="Arial" w:cs="Arial"/>
          <w:sz w:val="22"/>
          <w:szCs w:val="22"/>
        </w:rPr>
        <w:t>Pharmacy First</w:t>
      </w:r>
      <w:r w:rsidRPr="00CF0C29">
        <w:rPr>
          <w:rFonts w:ascii="Arial" w:hAnsi="Arial" w:cs="Arial"/>
          <w:sz w:val="22"/>
          <w:szCs w:val="22"/>
        </w:rPr>
        <w:t xml:space="preserve"> fee can also be claimed from NHS England)</w:t>
      </w:r>
    </w:p>
    <w:p w14:paraId="7439AEE1" w14:textId="77777777" w:rsidR="00CF0C29" w:rsidRPr="00CF0C29" w:rsidRDefault="00CF0C29" w:rsidP="00CF0C29">
      <w:pPr>
        <w:pStyle w:val="ListParagraph"/>
        <w:numPr>
          <w:ilvl w:val="1"/>
          <w:numId w:val="16"/>
        </w:numPr>
        <w:rPr>
          <w:rFonts w:ascii="Arial" w:hAnsi="Arial" w:cs="Arial"/>
          <w:sz w:val="22"/>
          <w:szCs w:val="22"/>
          <w:u w:val="single"/>
        </w:rPr>
      </w:pPr>
      <w:r w:rsidRPr="00CF0C29">
        <w:rPr>
          <w:rFonts w:ascii="Arial" w:hAnsi="Arial" w:cs="Arial"/>
          <w:sz w:val="22"/>
          <w:szCs w:val="22"/>
        </w:rPr>
        <w:t xml:space="preserve">The cost of the medicines (using </w:t>
      </w:r>
      <w:proofErr w:type="spellStart"/>
      <w:r w:rsidRPr="00CF0C29">
        <w:rPr>
          <w:rFonts w:ascii="Arial" w:hAnsi="Arial" w:cs="Arial"/>
          <w:sz w:val="22"/>
          <w:szCs w:val="22"/>
        </w:rPr>
        <w:t>dm+d</w:t>
      </w:r>
      <w:proofErr w:type="spellEnd"/>
      <w:r w:rsidRPr="00CF0C29">
        <w:rPr>
          <w:rFonts w:ascii="Arial" w:hAnsi="Arial" w:cs="Arial"/>
          <w:sz w:val="22"/>
          <w:szCs w:val="22"/>
        </w:rPr>
        <w:t>) + VAT (where applicable)</w:t>
      </w:r>
    </w:p>
    <w:p w14:paraId="63F6D224" w14:textId="77777777" w:rsidR="00CF0C29" w:rsidRPr="00CF0C29" w:rsidRDefault="00CF0C29" w:rsidP="00CF0C29">
      <w:pPr>
        <w:pStyle w:val="ListParagraph"/>
        <w:numPr>
          <w:ilvl w:val="1"/>
          <w:numId w:val="16"/>
        </w:numPr>
        <w:rPr>
          <w:rFonts w:ascii="Arial" w:hAnsi="Arial" w:cs="Arial"/>
          <w:sz w:val="22"/>
          <w:szCs w:val="22"/>
          <w:u w:val="single"/>
        </w:rPr>
      </w:pPr>
      <w:r w:rsidRPr="00CF0C29">
        <w:rPr>
          <w:rFonts w:ascii="Arial" w:hAnsi="Arial" w:cs="Arial"/>
          <w:sz w:val="22"/>
          <w:szCs w:val="22"/>
        </w:rPr>
        <w:t>Minus any prescription charges collected (if applicable)</w:t>
      </w:r>
    </w:p>
    <w:p w14:paraId="0EE89835" w14:textId="77777777" w:rsidR="00CF0C29" w:rsidRPr="00CF0C29" w:rsidRDefault="00CF0C29" w:rsidP="00CF0C29">
      <w:pPr>
        <w:pStyle w:val="ListParagraph"/>
        <w:ind w:left="1440"/>
        <w:rPr>
          <w:rFonts w:ascii="Arial" w:hAnsi="Arial" w:cs="Arial"/>
          <w:sz w:val="22"/>
          <w:szCs w:val="22"/>
          <w:u w:val="single"/>
        </w:rPr>
      </w:pPr>
    </w:p>
    <w:p w14:paraId="0C23D6AA" w14:textId="77777777" w:rsidR="00CF0C29" w:rsidRPr="00CF0C29" w:rsidRDefault="00CF0C29" w:rsidP="00CF0C29">
      <w:pPr>
        <w:pStyle w:val="ListParagraph"/>
        <w:ind w:left="1440"/>
        <w:rPr>
          <w:rFonts w:ascii="Arial" w:hAnsi="Arial" w:cs="Arial"/>
          <w:sz w:val="22"/>
          <w:szCs w:val="22"/>
          <w:u w:val="single"/>
        </w:rPr>
      </w:pPr>
    </w:p>
    <w:p w14:paraId="55EEEE14" w14:textId="77777777" w:rsidR="00CF0C29" w:rsidRPr="00CF0C29" w:rsidRDefault="00CF0C29" w:rsidP="00CF0C29">
      <w:pPr>
        <w:pStyle w:val="ListParagraph"/>
        <w:ind w:left="0"/>
        <w:rPr>
          <w:rFonts w:ascii="Arial" w:hAnsi="Arial" w:cs="Arial"/>
          <w:sz w:val="22"/>
          <w:szCs w:val="22"/>
        </w:rPr>
      </w:pPr>
      <w:r w:rsidRPr="00CF0C29">
        <w:rPr>
          <w:rFonts w:ascii="Arial" w:hAnsi="Arial" w:cs="Arial"/>
          <w:sz w:val="22"/>
          <w:szCs w:val="22"/>
        </w:rPr>
        <w:t xml:space="preserve">Any additional OTC / P medicines supplied outside of the PGD will need to be paid for by the </w:t>
      </w:r>
      <w:proofErr w:type="gramStart"/>
      <w:r w:rsidRPr="00CF0C29">
        <w:rPr>
          <w:rFonts w:ascii="Arial" w:hAnsi="Arial" w:cs="Arial"/>
          <w:sz w:val="22"/>
          <w:szCs w:val="22"/>
        </w:rPr>
        <w:t>patient</w:t>
      </w:r>
      <w:proofErr w:type="gramEnd"/>
    </w:p>
    <w:p w14:paraId="406CA8AD" w14:textId="77777777" w:rsidR="00CF0C29" w:rsidRPr="00CF0C29" w:rsidRDefault="00CF0C29" w:rsidP="00CF0C29">
      <w:pPr>
        <w:rPr>
          <w:rFonts w:ascii="Arial" w:hAnsi="Arial" w:cs="Arial"/>
          <w:sz w:val="22"/>
          <w:szCs w:val="22"/>
          <w:u w:val="single"/>
        </w:rPr>
      </w:pPr>
    </w:p>
    <w:p w14:paraId="238FCA6B" w14:textId="77777777" w:rsidR="00CF0C29" w:rsidRPr="00CF0C29" w:rsidRDefault="00CF0C29" w:rsidP="00CF0C29">
      <w:pPr>
        <w:rPr>
          <w:rFonts w:ascii="Arial" w:hAnsi="Arial" w:cs="Arial"/>
          <w:sz w:val="22"/>
          <w:szCs w:val="22"/>
          <w:u w:val="single"/>
        </w:rPr>
      </w:pPr>
      <w:r w:rsidRPr="00CF0C29">
        <w:rPr>
          <w:rFonts w:ascii="Arial" w:hAnsi="Arial" w:cs="Arial"/>
          <w:sz w:val="22"/>
          <w:szCs w:val="22"/>
          <w:u w:val="single"/>
        </w:rPr>
        <w:t>Invoicing</w:t>
      </w:r>
    </w:p>
    <w:p w14:paraId="5E552EFB" w14:textId="77777777" w:rsidR="00CF0C29" w:rsidRPr="00CF0C29" w:rsidRDefault="00CF0C29" w:rsidP="00CF0C29">
      <w:pPr>
        <w:rPr>
          <w:rFonts w:ascii="Arial" w:hAnsi="Arial" w:cs="Arial"/>
          <w:sz w:val="22"/>
          <w:szCs w:val="22"/>
        </w:rPr>
      </w:pPr>
      <w:r w:rsidRPr="00CF0C29">
        <w:rPr>
          <w:rFonts w:ascii="Arial" w:hAnsi="Arial" w:cs="Arial"/>
          <w:sz w:val="22"/>
          <w:szCs w:val="22"/>
        </w:rPr>
        <w:t xml:space="preserve">Pharmacies must complete a PharmOutcomes PGD Service template for each supply. A monthly invoice will be generated automatically and sent to the commissioner each calendar month (in arrears), </w:t>
      </w:r>
      <w:proofErr w:type="gramStart"/>
      <w:r w:rsidRPr="00CF0C29">
        <w:rPr>
          <w:rFonts w:ascii="Arial" w:hAnsi="Arial" w:cs="Arial"/>
          <w:sz w:val="22"/>
          <w:szCs w:val="22"/>
        </w:rPr>
        <w:t>checked</w:t>
      </w:r>
      <w:proofErr w:type="gramEnd"/>
      <w:r w:rsidRPr="00CF0C29">
        <w:rPr>
          <w:rFonts w:ascii="Arial" w:hAnsi="Arial" w:cs="Arial"/>
          <w:sz w:val="22"/>
          <w:szCs w:val="22"/>
        </w:rPr>
        <w:t xml:space="preserve"> and then submitted for payment. Claims for payment should only be processed through PharmOutcomes unless otherwise advised.</w:t>
      </w:r>
    </w:p>
    <w:p w14:paraId="37718B86" w14:textId="77777777" w:rsidR="00CF0C29" w:rsidRDefault="00CF0C29" w:rsidP="00EF0992">
      <w:pPr>
        <w:rPr>
          <w:sz w:val="22"/>
          <w:szCs w:val="22"/>
          <w:u w:val="single"/>
        </w:rPr>
      </w:pPr>
    </w:p>
    <w:p w14:paraId="14459295" w14:textId="77777777" w:rsidR="00BC5466" w:rsidRDefault="00BC5466" w:rsidP="00EF0992">
      <w:pPr>
        <w:rPr>
          <w:sz w:val="22"/>
          <w:szCs w:val="22"/>
          <w:u w:val="single"/>
        </w:rPr>
      </w:pPr>
    </w:p>
    <w:sectPr w:rsidR="00BC5466" w:rsidSect="00EF0992">
      <w:headerReference w:type="default" r:id="rId24"/>
      <w:footerReference w:type="default" r:id="rId2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OUSINS, Emily (NHS BATH AND NORTH EAST SOMERSET, SWINDON AND WILTSHIRE ICB - 92G)" w:date="2022-12-06T17:22:00Z" w:initials="CE(BANESS">
    <w:p w14:paraId="3EFAA245" w14:textId="77777777" w:rsidR="007A5EC7" w:rsidRDefault="007A5EC7" w:rsidP="000250DC">
      <w:pPr>
        <w:pStyle w:val="CommentText"/>
      </w:pPr>
      <w:r>
        <w:rPr>
          <w:rStyle w:val="CommentReference"/>
        </w:rPr>
        <w:annotationRef/>
      </w:r>
      <w:r>
        <w:t>Contract lead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AA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9F8BA" w16cex:dateUtc="2022-12-06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AA245" w16cid:durableId="2739F8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52FC" w14:textId="77777777" w:rsidR="003E7279" w:rsidRDefault="003E7279" w:rsidP="0067334B">
      <w:pPr>
        <w:spacing w:after="0"/>
      </w:pPr>
      <w:r>
        <w:separator/>
      </w:r>
    </w:p>
  </w:endnote>
  <w:endnote w:type="continuationSeparator" w:id="0">
    <w:p w14:paraId="7CD8B03C" w14:textId="77777777" w:rsidR="003E7279" w:rsidRDefault="003E7279" w:rsidP="00673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9294"/>
      <w:docPartObj>
        <w:docPartGallery w:val="Page Numbers (Bottom of Page)"/>
        <w:docPartUnique/>
      </w:docPartObj>
    </w:sdtPr>
    <w:sdtEndPr>
      <w:rPr>
        <w:noProof/>
      </w:rPr>
    </w:sdtEndPr>
    <w:sdtContent>
      <w:p w14:paraId="45F9B764" w14:textId="77777777" w:rsidR="00641045" w:rsidRDefault="00641045">
        <w:pPr>
          <w:pStyle w:val="Footer"/>
          <w:jc w:val="right"/>
        </w:pPr>
        <w:r>
          <w:fldChar w:fldCharType="begin"/>
        </w:r>
        <w:r>
          <w:instrText xml:space="preserve"> PAGE   \* MERGEFORMAT </w:instrText>
        </w:r>
        <w:r>
          <w:fldChar w:fldCharType="separate"/>
        </w:r>
        <w:r w:rsidR="00C00474">
          <w:rPr>
            <w:noProof/>
          </w:rPr>
          <w:t>5</w:t>
        </w:r>
        <w:r>
          <w:rPr>
            <w:noProof/>
          </w:rPr>
          <w:fldChar w:fldCharType="end"/>
        </w:r>
      </w:p>
    </w:sdtContent>
  </w:sdt>
  <w:p w14:paraId="17FD60D4" w14:textId="77777777" w:rsidR="0067334B" w:rsidRDefault="006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56FD" w14:textId="77777777" w:rsidR="003E7279" w:rsidRDefault="003E7279" w:rsidP="0067334B">
      <w:pPr>
        <w:spacing w:after="0"/>
      </w:pPr>
      <w:r>
        <w:separator/>
      </w:r>
    </w:p>
  </w:footnote>
  <w:footnote w:type="continuationSeparator" w:id="0">
    <w:p w14:paraId="091716AE" w14:textId="77777777" w:rsidR="003E7279" w:rsidRDefault="003E7279" w:rsidP="006733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C81" w14:textId="712A8323" w:rsidR="00FD7958" w:rsidRDefault="00FD7958" w:rsidP="00FD79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796"/>
    <w:multiLevelType w:val="hybridMultilevel"/>
    <w:tmpl w:val="A4087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15052"/>
    <w:multiLevelType w:val="hybridMultilevel"/>
    <w:tmpl w:val="326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4458"/>
    <w:multiLevelType w:val="hybridMultilevel"/>
    <w:tmpl w:val="DB025656"/>
    <w:lvl w:ilvl="0" w:tplc="3CDA070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D1476C"/>
    <w:multiLevelType w:val="multilevel"/>
    <w:tmpl w:val="9AC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E31CF"/>
    <w:multiLevelType w:val="multilevel"/>
    <w:tmpl w:val="0066B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405F21"/>
    <w:multiLevelType w:val="hybridMultilevel"/>
    <w:tmpl w:val="7B62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54BA9"/>
    <w:multiLevelType w:val="multilevel"/>
    <w:tmpl w:val="A32A2BB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37901D7"/>
    <w:multiLevelType w:val="hybridMultilevel"/>
    <w:tmpl w:val="54327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AB13E6"/>
    <w:multiLevelType w:val="hybridMultilevel"/>
    <w:tmpl w:val="2648F3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8B3288"/>
    <w:multiLevelType w:val="hybridMultilevel"/>
    <w:tmpl w:val="9A507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3B575F"/>
    <w:multiLevelType w:val="hybridMultilevel"/>
    <w:tmpl w:val="1C4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64542"/>
    <w:multiLevelType w:val="hybridMultilevel"/>
    <w:tmpl w:val="58F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73FE"/>
    <w:multiLevelType w:val="hybridMultilevel"/>
    <w:tmpl w:val="54327A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8178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279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7771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98427">
    <w:abstractNumId w:val="2"/>
  </w:num>
  <w:num w:numId="5" w16cid:durableId="2106681948">
    <w:abstractNumId w:val="6"/>
  </w:num>
  <w:num w:numId="6" w16cid:durableId="2061979379">
    <w:abstractNumId w:val="4"/>
  </w:num>
  <w:num w:numId="7" w16cid:durableId="965545487">
    <w:abstractNumId w:val="7"/>
  </w:num>
  <w:num w:numId="8" w16cid:durableId="389110796">
    <w:abstractNumId w:val="5"/>
  </w:num>
  <w:num w:numId="9" w16cid:durableId="146483699">
    <w:abstractNumId w:val="9"/>
  </w:num>
  <w:num w:numId="10" w16cid:durableId="1724795255">
    <w:abstractNumId w:val="12"/>
  </w:num>
  <w:num w:numId="11" w16cid:durableId="1097484806">
    <w:abstractNumId w:val="10"/>
  </w:num>
  <w:num w:numId="12" w16cid:durableId="1869367667">
    <w:abstractNumId w:val="3"/>
  </w:num>
  <w:num w:numId="13" w16cid:durableId="1071537734">
    <w:abstractNumId w:val="11"/>
  </w:num>
  <w:num w:numId="14" w16cid:durableId="807208784">
    <w:abstractNumId w:val="1"/>
  </w:num>
  <w:num w:numId="15" w16cid:durableId="1752196149">
    <w:abstractNumId w:val="0"/>
  </w:num>
  <w:num w:numId="16" w16cid:durableId="733237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329885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SINS, Emily (NHS BATH AND NORTH EAST SOMERSET, SWINDON AND WILTSHIRE ICB - 92G)">
    <w15:presenceInfo w15:providerId="AD" w15:userId="S::emily.cousins2@nhs.net::d149c16b-4d88-4887-84cd-43bc91bf4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69"/>
    <w:rsid w:val="00022982"/>
    <w:rsid w:val="00040E05"/>
    <w:rsid w:val="00044D77"/>
    <w:rsid w:val="00055E25"/>
    <w:rsid w:val="00064DF2"/>
    <w:rsid w:val="000757F9"/>
    <w:rsid w:val="00094EF3"/>
    <w:rsid w:val="000B41A9"/>
    <w:rsid w:val="000E51EF"/>
    <w:rsid w:val="000E7B0E"/>
    <w:rsid w:val="000F145C"/>
    <w:rsid w:val="000F26B9"/>
    <w:rsid w:val="00102C93"/>
    <w:rsid w:val="00140C2C"/>
    <w:rsid w:val="001426A3"/>
    <w:rsid w:val="00166B21"/>
    <w:rsid w:val="00177724"/>
    <w:rsid w:val="001818DB"/>
    <w:rsid w:val="0019053B"/>
    <w:rsid w:val="001A3A29"/>
    <w:rsid w:val="001B1E68"/>
    <w:rsid w:val="001C645A"/>
    <w:rsid w:val="001E650A"/>
    <w:rsid w:val="001E72D0"/>
    <w:rsid w:val="001F0E84"/>
    <w:rsid w:val="001F0F5E"/>
    <w:rsid w:val="001F3872"/>
    <w:rsid w:val="00216212"/>
    <w:rsid w:val="0023386A"/>
    <w:rsid w:val="00255893"/>
    <w:rsid w:val="002940BF"/>
    <w:rsid w:val="002B6F3F"/>
    <w:rsid w:val="002C34BB"/>
    <w:rsid w:val="002D2355"/>
    <w:rsid w:val="002E58B2"/>
    <w:rsid w:val="002F2A98"/>
    <w:rsid w:val="0030645B"/>
    <w:rsid w:val="00321D5C"/>
    <w:rsid w:val="00350A37"/>
    <w:rsid w:val="00357DC8"/>
    <w:rsid w:val="003638D2"/>
    <w:rsid w:val="00392F1F"/>
    <w:rsid w:val="003A6989"/>
    <w:rsid w:val="003B6F10"/>
    <w:rsid w:val="003C0553"/>
    <w:rsid w:val="003C3464"/>
    <w:rsid w:val="003C6244"/>
    <w:rsid w:val="003E7279"/>
    <w:rsid w:val="003F1661"/>
    <w:rsid w:val="00410285"/>
    <w:rsid w:val="00423592"/>
    <w:rsid w:val="00441E07"/>
    <w:rsid w:val="004441E4"/>
    <w:rsid w:val="00467741"/>
    <w:rsid w:val="00496B20"/>
    <w:rsid w:val="004A0BF3"/>
    <w:rsid w:val="004B07D4"/>
    <w:rsid w:val="004C13EB"/>
    <w:rsid w:val="004C1ACE"/>
    <w:rsid w:val="004C3B3F"/>
    <w:rsid w:val="004C4E17"/>
    <w:rsid w:val="004D5681"/>
    <w:rsid w:val="004F70ED"/>
    <w:rsid w:val="00535987"/>
    <w:rsid w:val="00540F09"/>
    <w:rsid w:val="005621F0"/>
    <w:rsid w:val="005650F0"/>
    <w:rsid w:val="00591841"/>
    <w:rsid w:val="00591FB5"/>
    <w:rsid w:val="00593B08"/>
    <w:rsid w:val="005A36A2"/>
    <w:rsid w:val="005C3101"/>
    <w:rsid w:val="005C4AD0"/>
    <w:rsid w:val="00610042"/>
    <w:rsid w:val="0061594B"/>
    <w:rsid w:val="00635BB1"/>
    <w:rsid w:val="00637269"/>
    <w:rsid w:val="00641045"/>
    <w:rsid w:val="006574C1"/>
    <w:rsid w:val="00661046"/>
    <w:rsid w:val="0066298A"/>
    <w:rsid w:val="00662F35"/>
    <w:rsid w:val="00664536"/>
    <w:rsid w:val="0067334B"/>
    <w:rsid w:val="00675569"/>
    <w:rsid w:val="006A10A5"/>
    <w:rsid w:val="006A31DE"/>
    <w:rsid w:val="006A5EC5"/>
    <w:rsid w:val="006B372E"/>
    <w:rsid w:val="006B4806"/>
    <w:rsid w:val="006C4E72"/>
    <w:rsid w:val="006F04D5"/>
    <w:rsid w:val="0071379D"/>
    <w:rsid w:val="00714CB5"/>
    <w:rsid w:val="00722F9A"/>
    <w:rsid w:val="00731994"/>
    <w:rsid w:val="007342CD"/>
    <w:rsid w:val="00743131"/>
    <w:rsid w:val="007624EF"/>
    <w:rsid w:val="00771EB3"/>
    <w:rsid w:val="007966FF"/>
    <w:rsid w:val="007A5EC7"/>
    <w:rsid w:val="007C6D99"/>
    <w:rsid w:val="007D3FBA"/>
    <w:rsid w:val="00827FA7"/>
    <w:rsid w:val="00846919"/>
    <w:rsid w:val="00853C9F"/>
    <w:rsid w:val="008552F2"/>
    <w:rsid w:val="00896CDC"/>
    <w:rsid w:val="008C2619"/>
    <w:rsid w:val="008C3006"/>
    <w:rsid w:val="008D27AA"/>
    <w:rsid w:val="008D4B4E"/>
    <w:rsid w:val="008D5A13"/>
    <w:rsid w:val="008F5A7F"/>
    <w:rsid w:val="00945856"/>
    <w:rsid w:val="00947815"/>
    <w:rsid w:val="0096684F"/>
    <w:rsid w:val="00967337"/>
    <w:rsid w:val="0098454B"/>
    <w:rsid w:val="00996982"/>
    <w:rsid w:val="009A3AB2"/>
    <w:rsid w:val="009B18C5"/>
    <w:rsid w:val="009C1C81"/>
    <w:rsid w:val="009D41AF"/>
    <w:rsid w:val="009F31A2"/>
    <w:rsid w:val="009F47D3"/>
    <w:rsid w:val="00A03870"/>
    <w:rsid w:val="00A0777A"/>
    <w:rsid w:val="00A133DF"/>
    <w:rsid w:val="00A14E54"/>
    <w:rsid w:val="00A23416"/>
    <w:rsid w:val="00A2493F"/>
    <w:rsid w:val="00A3703D"/>
    <w:rsid w:val="00A46F51"/>
    <w:rsid w:val="00A4708D"/>
    <w:rsid w:val="00A91D00"/>
    <w:rsid w:val="00AE5E91"/>
    <w:rsid w:val="00B07C41"/>
    <w:rsid w:val="00B51678"/>
    <w:rsid w:val="00B91795"/>
    <w:rsid w:val="00BC14C6"/>
    <w:rsid w:val="00BC5466"/>
    <w:rsid w:val="00BD70C0"/>
    <w:rsid w:val="00BF449E"/>
    <w:rsid w:val="00BF6BB9"/>
    <w:rsid w:val="00C00474"/>
    <w:rsid w:val="00C03AF3"/>
    <w:rsid w:val="00C23A34"/>
    <w:rsid w:val="00C4409E"/>
    <w:rsid w:val="00C62396"/>
    <w:rsid w:val="00C94862"/>
    <w:rsid w:val="00CA7CA4"/>
    <w:rsid w:val="00CB42B6"/>
    <w:rsid w:val="00CC5D4A"/>
    <w:rsid w:val="00CE2109"/>
    <w:rsid w:val="00CE4E35"/>
    <w:rsid w:val="00CF0C29"/>
    <w:rsid w:val="00D03A06"/>
    <w:rsid w:val="00D74FAE"/>
    <w:rsid w:val="00D943FE"/>
    <w:rsid w:val="00DA62C7"/>
    <w:rsid w:val="00DA7D60"/>
    <w:rsid w:val="00DB524B"/>
    <w:rsid w:val="00DC3F0C"/>
    <w:rsid w:val="00DC7DC7"/>
    <w:rsid w:val="00DD18EF"/>
    <w:rsid w:val="00DF1734"/>
    <w:rsid w:val="00E359F7"/>
    <w:rsid w:val="00E50C73"/>
    <w:rsid w:val="00E63583"/>
    <w:rsid w:val="00E9004D"/>
    <w:rsid w:val="00EC09D3"/>
    <w:rsid w:val="00EF0992"/>
    <w:rsid w:val="00EF1B51"/>
    <w:rsid w:val="00F27476"/>
    <w:rsid w:val="00F5050C"/>
    <w:rsid w:val="00F8018A"/>
    <w:rsid w:val="00F81A4A"/>
    <w:rsid w:val="00FA0CC7"/>
    <w:rsid w:val="00FC4924"/>
    <w:rsid w:val="00FD56F9"/>
    <w:rsid w:val="00FD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36622"/>
  <w15:docId w15:val="{CA2FCB32-E1AA-4EC8-8E28-576AE2E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69"/>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637269"/>
    <w:pPr>
      <w:spacing w:after="0" w:line="660" w:lineRule="exact"/>
      <w:jc w:val="center"/>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69"/>
    <w:rPr>
      <w:rFonts w:ascii="Arial" w:eastAsia="Times New Roman" w:hAnsi="Arial" w:cs="Arial"/>
      <w:b/>
      <w:sz w:val="28"/>
      <w:szCs w:val="28"/>
    </w:rPr>
  </w:style>
  <w:style w:type="character" w:customStyle="1" w:styleId="ListParagraphChar">
    <w:name w:val="List Paragraph Char"/>
    <w:basedOn w:val="DefaultParagraphFont"/>
    <w:link w:val="ListParagraph"/>
    <w:uiPriority w:val="34"/>
    <w:locked/>
    <w:rsid w:val="0063726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637269"/>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637269"/>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EB3"/>
    <w:pPr>
      <w:spacing w:after="0" w:line="240" w:lineRule="auto"/>
    </w:pPr>
    <w:rPr>
      <w:rFonts w:eastAsiaTheme="minorEastAsia"/>
      <w:sz w:val="24"/>
      <w:szCs w:val="20"/>
      <w:lang w:val="en-US" w:eastAsia="ja-JP"/>
    </w:rPr>
  </w:style>
  <w:style w:type="paragraph" w:customStyle="1" w:styleId="Default">
    <w:name w:val="Default"/>
    <w:rsid w:val="00FD56F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5987"/>
    <w:rPr>
      <w:color w:val="0563C1" w:themeColor="hyperlink"/>
      <w:u w:val="single"/>
    </w:rPr>
  </w:style>
  <w:style w:type="paragraph" w:styleId="NormalWeb">
    <w:name w:val="Normal (Web)"/>
    <w:basedOn w:val="Normal"/>
    <w:uiPriority w:val="99"/>
    <w:unhideWhenUsed/>
    <w:rsid w:val="00E9004D"/>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DA7D60"/>
    <w:rPr>
      <w:b/>
      <w:bCs/>
    </w:rPr>
  </w:style>
  <w:style w:type="paragraph" w:styleId="Header">
    <w:name w:val="header"/>
    <w:basedOn w:val="Normal"/>
    <w:link w:val="HeaderChar"/>
    <w:uiPriority w:val="99"/>
    <w:unhideWhenUsed/>
    <w:rsid w:val="0067334B"/>
    <w:pPr>
      <w:tabs>
        <w:tab w:val="center" w:pos="4513"/>
        <w:tab w:val="right" w:pos="9026"/>
      </w:tabs>
      <w:spacing w:after="0"/>
    </w:pPr>
  </w:style>
  <w:style w:type="character" w:customStyle="1" w:styleId="HeaderChar">
    <w:name w:val="Header Char"/>
    <w:basedOn w:val="DefaultParagraphFont"/>
    <w:link w:val="Header"/>
    <w:uiPriority w:val="99"/>
    <w:rsid w:val="0067334B"/>
    <w:rPr>
      <w:rFonts w:eastAsiaTheme="minorEastAsia"/>
      <w:sz w:val="24"/>
      <w:szCs w:val="20"/>
      <w:lang w:val="en-US" w:eastAsia="ja-JP"/>
    </w:rPr>
  </w:style>
  <w:style w:type="paragraph" w:styleId="Footer">
    <w:name w:val="footer"/>
    <w:basedOn w:val="Normal"/>
    <w:link w:val="FooterChar"/>
    <w:uiPriority w:val="99"/>
    <w:unhideWhenUsed/>
    <w:rsid w:val="0067334B"/>
    <w:pPr>
      <w:tabs>
        <w:tab w:val="center" w:pos="4513"/>
        <w:tab w:val="right" w:pos="9026"/>
      </w:tabs>
      <w:spacing w:after="0"/>
    </w:pPr>
  </w:style>
  <w:style w:type="character" w:customStyle="1" w:styleId="FooterChar">
    <w:name w:val="Footer Char"/>
    <w:basedOn w:val="DefaultParagraphFont"/>
    <w:link w:val="Footer"/>
    <w:uiPriority w:val="99"/>
    <w:rsid w:val="0067334B"/>
    <w:rPr>
      <w:rFonts w:eastAsiaTheme="minorEastAsia"/>
      <w:sz w:val="24"/>
      <w:szCs w:val="20"/>
      <w:lang w:val="en-US" w:eastAsia="ja-JP"/>
    </w:rPr>
  </w:style>
  <w:style w:type="character" w:styleId="FollowedHyperlink">
    <w:name w:val="FollowedHyperlink"/>
    <w:basedOn w:val="DefaultParagraphFont"/>
    <w:uiPriority w:val="99"/>
    <w:semiHidden/>
    <w:unhideWhenUsed/>
    <w:rsid w:val="001B1E68"/>
    <w:rPr>
      <w:color w:val="954F72" w:themeColor="followedHyperlink"/>
      <w:u w:val="single"/>
    </w:rPr>
  </w:style>
  <w:style w:type="paragraph" w:styleId="BalloonText">
    <w:name w:val="Balloon Text"/>
    <w:basedOn w:val="Normal"/>
    <w:link w:val="BalloonTextChar"/>
    <w:uiPriority w:val="99"/>
    <w:semiHidden/>
    <w:unhideWhenUsed/>
    <w:rsid w:val="00FD7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58"/>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9F47D3"/>
    <w:rPr>
      <w:sz w:val="16"/>
      <w:szCs w:val="16"/>
    </w:rPr>
  </w:style>
  <w:style w:type="paragraph" w:styleId="CommentText">
    <w:name w:val="annotation text"/>
    <w:basedOn w:val="Normal"/>
    <w:link w:val="CommentTextChar"/>
    <w:uiPriority w:val="99"/>
    <w:unhideWhenUsed/>
    <w:rsid w:val="009F47D3"/>
    <w:rPr>
      <w:sz w:val="20"/>
    </w:rPr>
  </w:style>
  <w:style w:type="character" w:customStyle="1" w:styleId="CommentTextChar">
    <w:name w:val="Comment Text Char"/>
    <w:basedOn w:val="DefaultParagraphFont"/>
    <w:link w:val="CommentText"/>
    <w:uiPriority w:val="99"/>
    <w:rsid w:val="009F47D3"/>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9F47D3"/>
    <w:rPr>
      <w:b/>
      <w:bCs/>
    </w:rPr>
  </w:style>
  <w:style w:type="character" w:customStyle="1" w:styleId="CommentSubjectChar">
    <w:name w:val="Comment Subject Char"/>
    <w:basedOn w:val="CommentTextChar"/>
    <w:link w:val="CommentSubject"/>
    <w:uiPriority w:val="99"/>
    <w:semiHidden/>
    <w:rsid w:val="009F47D3"/>
    <w:rPr>
      <w:rFonts w:eastAsiaTheme="minorEastAsia"/>
      <w:b/>
      <w:bCs/>
      <w:sz w:val="20"/>
      <w:szCs w:val="20"/>
      <w:lang w:val="en-US" w:eastAsia="ja-JP"/>
    </w:rPr>
  </w:style>
  <w:style w:type="character" w:styleId="UnresolvedMention">
    <w:name w:val="Unresolved Mention"/>
    <w:basedOn w:val="DefaultParagraphFont"/>
    <w:uiPriority w:val="99"/>
    <w:semiHidden/>
    <w:unhideWhenUsed/>
    <w:rsid w:val="009F4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863">
      <w:bodyDiv w:val="1"/>
      <w:marLeft w:val="0"/>
      <w:marRight w:val="0"/>
      <w:marTop w:val="0"/>
      <w:marBottom w:val="0"/>
      <w:divBdr>
        <w:top w:val="none" w:sz="0" w:space="0" w:color="auto"/>
        <w:left w:val="none" w:sz="0" w:space="0" w:color="auto"/>
        <w:bottom w:val="none" w:sz="0" w:space="0" w:color="auto"/>
        <w:right w:val="none" w:sz="0" w:space="0" w:color="auto"/>
      </w:divBdr>
    </w:div>
    <w:div w:id="268854856">
      <w:bodyDiv w:val="1"/>
      <w:marLeft w:val="0"/>
      <w:marRight w:val="0"/>
      <w:marTop w:val="0"/>
      <w:marBottom w:val="0"/>
      <w:divBdr>
        <w:top w:val="none" w:sz="0" w:space="0" w:color="auto"/>
        <w:left w:val="none" w:sz="0" w:space="0" w:color="auto"/>
        <w:bottom w:val="none" w:sz="0" w:space="0" w:color="auto"/>
        <w:right w:val="none" w:sz="0" w:space="0" w:color="auto"/>
      </w:divBdr>
    </w:div>
    <w:div w:id="479616212">
      <w:bodyDiv w:val="1"/>
      <w:marLeft w:val="0"/>
      <w:marRight w:val="0"/>
      <w:marTop w:val="0"/>
      <w:marBottom w:val="0"/>
      <w:divBdr>
        <w:top w:val="none" w:sz="0" w:space="0" w:color="auto"/>
        <w:left w:val="none" w:sz="0" w:space="0" w:color="auto"/>
        <w:bottom w:val="none" w:sz="0" w:space="0" w:color="auto"/>
        <w:right w:val="none" w:sz="0" w:space="0" w:color="auto"/>
      </w:divBdr>
    </w:div>
    <w:div w:id="1163476204">
      <w:bodyDiv w:val="1"/>
      <w:marLeft w:val="0"/>
      <w:marRight w:val="0"/>
      <w:marTop w:val="0"/>
      <w:marBottom w:val="0"/>
      <w:divBdr>
        <w:top w:val="none" w:sz="0" w:space="0" w:color="auto"/>
        <w:left w:val="none" w:sz="0" w:space="0" w:color="auto"/>
        <w:bottom w:val="none" w:sz="0" w:space="0" w:color="auto"/>
        <w:right w:val="none" w:sz="0" w:space="0" w:color="auto"/>
      </w:divBdr>
    </w:div>
    <w:div w:id="1700356062">
      <w:bodyDiv w:val="1"/>
      <w:marLeft w:val="0"/>
      <w:marRight w:val="0"/>
      <w:marTop w:val="0"/>
      <w:marBottom w:val="0"/>
      <w:divBdr>
        <w:top w:val="none" w:sz="0" w:space="0" w:color="auto"/>
        <w:left w:val="none" w:sz="0" w:space="0" w:color="auto"/>
        <w:bottom w:val="none" w:sz="0" w:space="0" w:color="auto"/>
        <w:right w:val="none" w:sz="0" w:space="0" w:color="auto"/>
      </w:divBdr>
      <w:divsChild>
        <w:div w:id="528840281">
          <w:marLeft w:val="0"/>
          <w:marRight w:val="0"/>
          <w:marTop w:val="0"/>
          <w:marBottom w:val="0"/>
          <w:divBdr>
            <w:top w:val="none" w:sz="0" w:space="0" w:color="auto"/>
            <w:left w:val="none" w:sz="0" w:space="0" w:color="auto"/>
            <w:bottom w:val="none" w:sz="0" w:space="0" w:color="auto"/>
            <w:right w:val="none" w:sz="0" w:space="0" w:color="auto"/>
          </w:divBdr>
          <w:divsChild>
            <w:div w:id="640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831">
      <w:bodyDiv w:val="1"/>
      <w:marLeft w:val="0"/>
      <w:marRight w:val="0"/>
      <w:marTop w:val="0"/>
      <w:marBottom w:val="0"/>
      <w:divBdr>
        <w:top w:val="none" w:sz="0" w:space="0" w:color="auto"/>
        <w:left w:val="none" w:sz="0" w:space="0" w:color="auto"/>
        <w:bottom w:val="none" w:sz="0" w:space="0" w:color="auto"/>
        <w:right w:val="none" w:sz="0" w:space="0" w:color="auto"/>
      </w:divBdr>
      <w:divsChild>
        <w:div w:id="1964995822">
          <w:marLeft w:val="0"/>
          <w:marRight w:val="0"/>
          <w:marTop w:val="0"/>
          <w:marBottom w:val="0"/>
          <w:divBdr>
            <w:top w:val="none" w:sz="0" w:space="0" w:color="auto"/>
            <w:left w:val="none" w:sz="0" w:space="0" w:color="auto"/>
            <w:bottom w:val="none" w:sz="0" w:space="0" w:color="auto"/>
            <w:right w:val="none" w:sz="0" w:space="0" w:color="auto"/>
          </w:divBdr>
          <w:divsChild>
            <w:div w:id="1907641442">
              <w:marLeft w:val="0"/>
              <w:marRight w:val="0"/>
              <w:marTop w:val="0"/>
              <w:marBottom w:val="0"/>
              <w:divBdr>
                <w:top w:val="none" w:sz="0" w:space="0" w:color="auto"/>
                <w:left w:val="none" w:sz="0" w:space="0" w:color="auto"/>
                <w:bottom w:val="none" w:sz="0" w:space="0" w:color="auto"/>
                <w:right w:val="none" w:sz="0" w:space="0" w:color="auto"/>
              </w:divBdr>
              <w:divsChild>
                <w:div w:id="1680235012">
                  <w:marLeft w:val="-225"/>
                  <w:marRight w:val="-225"/>
                  <w:marTop w:val="0"/>
                  <w:marBottom w:val="0"/>
                  <w:divBdr>
                    <w:top w:val="none" w:sz="0" w:space="0" w:color="auto"/>
                    <w:left w:val="none" w:sz="0" w:space="0" w:color="auto"/>
                    <w:bottom w:val="none" w:sz="0" w:space="0" w:color="auto"/>
                    <w:right w:val="none" w:sz="0" w:space="0" w:color="auto"/>
                  </w:divBdr>
                  <w:divsChild>
                    <w:div w:id="1175732565">
                      <w:marLeft w:val="0"/>
                      <w:marRight w:val="0"/>
                      <w:marTop w:val="0"/>
                      <w:marBottom w:val="0"/>
                      <w:divBdr>
                        <w:top w:val="none" w:sz="0" w:space="0" w:color="auto"/>
                        <w:left w:val="none" w:sz="0" w:space="0" w:color="auto"/>
                        <w:bottom w:val="none" w:sz="0" w:space="0" w:color="auto"/>
                        <w:right w:val="none" w:sz="0" w:space="0" w:color="auto"/>
                      </w:divBdr>
                      <w:divsChild>
                        <w:div w:id="2070376431">
                          <w:marLeft w:val="-15"/>
                          <w:marRight w:val="-15"/>
                          <w:marTop w:val="0"/>
                          <w:marBottom w:val="0"/>
                          <w:divBdr>
                            <w:top w:val="none" w:sz="0" w:space="0" w:color="auto"/>
                            <w:left w:val="none" w:sz="0" w:space="0" w:color="auto"/>
                            <w:bottom w:val="none" w:sz="0" w:space="0" w:color="auto"/>
                            <w:right w:val="none" w:sz="0" w:space="0" w:color="auto"/>
                          </w:divBdr>
                          <w:divsChild>
                            <w:div w:id="1561090915">
                              <w:marLeft w:val="0"/>
                              <w:marRight w:val="0"/>
                              <w:marTop w:val="0"/>
                              <w:marBottom w:val="0"/>
                              <w:divBdr>
                                <w:top w:val="none" w:sz="0" w:space="0" w:color="auto"/>
                                <w:left w:val="none" w:sz="0" w:space="0" w:color="auto"/>
                                <w:bottom w:val="none" w:sz="0" w:space="0" w:color="auto"/>
                                <w:right w:val="none" w:sz="0" w:space="0" w:color="auto"/>
                              </w:divBdr>
                              <w:divsChild>
                                <w:div w:id="1369526930">
                                  <w:marLeft w:val="0"/>
                                  <w:marRight w:val="0"/>
                                  <w:marTop w:val="0"/>
                                  <w:marBottom w:val="0"/>
                                  <w:divBdr>
                                    <w:top w:val="none" w:sz="0" w:space="0" w:color="auto"/>
                                    <w:left w:val="none" w:sz="0" w:space="0" w:color="auto"/>
                                    <w:bottom w:val="none" w:sz="0" w:space="0" w:color="auto"/>
                                    <w:right w:val="none" w:sz="0" w:space="0" w:color="auto"/>
                                  </w:divBdr>
                                  <w:divsChild>
                                    <w:div w:id="409351884">
                                      <w:marLeft w:val="0"/>
                                      <w:marRight w:val="0"/>
                                      <w:marTop w:val="0"/>
                                      <w:marBottom w:val="0"/>
                                      <w:divBdr>
                                        <w:top w:val="none" w:sz="0" w:space="0" w:color="auto"/>
                                        <w:left w:val="none" w:sz="0" w:space="0" w:color="auto"/>
                                        <w:bottom w:val="none" w:sz="0" w:space="0" w:color="auto"/>
                                        <w:right w:val="none" w:sz="0" w:space="0" w:color="auto"/>
                                      </w:divBdr>
                                      <w:divsChild>
                                        <w:div w:id="1643726700">
                                          <w:marLeft w:val="0"/>
                                          <w:marRight w:val="0"/>
                                          <w:marTop w:val="0"/>
                                          <w:marBottom w:val="0"/>
                                          <w:divBdr>
                                            <w:top w:val="none" w:sz="0" w:space="0" w:color="auto"/>
                                            <w:left w:val="none" w:sz="0" w:space="0" w:color="auto"/>
                                            <w:bottom w:val="none" w:sz="0" w:space="0" w:color="auto"/>
                                            <w:right w:val="none" w:sz="0" w:space="0" w:color="auto"/>
                                          </w:divBdr>
                                          <w:divsChild>
                                            <w:div w:id="707341171">
                                              <w:marLeft w:val="0"/>
                                              <w:marRight w:val="0"/>
                                              <w:marTop w:val="0"/>
                                              <w:marBottom w:val="0"/>
                                              <w:divBdr>
                                                <w:top w:val="none" w:sz="0" w:space="0" w:color="auto"/>
                                                <w:left w:val="none" w:sz="0" w:space="0" w:color="auto"/>
                                                <w:bottom w:val="none" w:sz="0" w:space="0" w:color="auto"/>
                                                <w:right w:val="none" w:sz="0" w:space="0" w:color="auto"/>
                                              </w:divBdr>
                                              <w:divsChild>
                                                <w:div w:id="264118258">
                                                  <w:marLeft w:val="0"/>
                                                  <w:marRight w:val="0"/>
                                                  <w:marTop w:val="0"/>
                                                  <w:marBottom w:val="0"/>
                                                  <w:divBdr>
                                                    <w:top w:val="none" w:sz="0" w:space="0" w:color="auto"/>
                                                    <w:left w:val="none" w:sz="0" w:space="0" w:color="auto"/>
                                                    <w:bottom w:val="none" w:sz="0" w:space="0" w:color="auto"/>
                                                    <w:right w:val="none" w:sz="0" w:space="0" w:color="auto"/>
                                                  </w:divBdr>
                                                  <w:divsChild>
                                                    <w:div w:id="12906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org.uk/avon-lpc/our-area/bnssg-ccg/bnssg-pgds/" TargetMode="External"/><Relationship Id="rId13" Type="http://schemas.openxmlformats.org/officeDocument/2006/relationships/hyperlink" Target="https://prescribing.bswccg.nhs.uk/wpdm-package/wiltshire-swindon-banes-primary-care-antibiotic-guidance-jan-2019-nice-update" TargetMode="External"/><Relationship Id="rId18" Type="http://schemas.openxmlformats.org/officeDocument/2006/relationships/hyperlink" Target="mailto:bswicb.prescribing@nhs.net"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cs1.e-learningforhealthcare.org.uk/public/AMR/AMR_01_001/d/ELFH_Session/9/session.html?lms=n" TargetMode="External"/><Relationship Id="rId17" Type="http://schemas.openxmlformats.org/officeDocument/2006/relationships/hyperlink" Target="https://www.pharmacyregulation.org/standards-for-pharmacy-professiona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escribing.bswccg.nhs.uk/wpdm-package/wiltshire-swindon-banes-primary-care-antibiotic-guidance-jan-2019-nice-update"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pe.ac.uk/programmes/l/safegrding-e-02%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ks.nice.org.uk/conjunctivitis-infective"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https://www.cppe.ac.uk/gateway/sepsis" TargetMode="External"/><Relationship Id="rId19" Type="http://schemas.openxmlformats.org/officeDocument/2006/relationships/hyperlink" Target="mailto:scwcsu.palscomplaints@nhs.net" TargetMode="External"/><Relationship Id="rId4" Type="http://schemas.openxmlformats.org/officeDocument/2006/relationships/settings" Target="settings.xml"/><Relationship Id="rId9" Type="http://schemas.openxmlformats.org/officeDocument/2006/relationships/hyperlink" Target="https://www.cppe.ac.uk/programmes/l/consult-p-02%20" TargetMode="External"/><Relationship Id="rId14" Type="http://schemas.openxmlformats.org/officeDocument/2006/relationships/hyperlink" Target="https://www.nice.org.uk/guidance/MPG2%20"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0160-9046-46F2-9A50-8FAC6B6E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Darlison Louisa (BNSSG CCG)</dc:creator>
  <cp:lastModifiedBy>WILKINSON, Helen (NHS BATH AND NORTH EAST SOMERSET, SWINDON AND WILTSHIRE ICB - 92G)</cp:lastModifiedBy>
  <cp:revision>8</cp:revision>
  <dcterms:created xsi:type="dcterms:W3CDTF">2024-04-03T08:52:00Z</dcterms:created>
  <dcterms:modified xsi:type="dcterms:W3CDTF">2024-04-03T09:42:00Z</dcterms:modified>
</cp:coreProperties>
</file>