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8287" w14:textId="77777777" w:rsidR="003B5B7A" w:rsidRPr="00F865E4" w:rsidRDefault="003B5B7A" w:rsidP="003B5B7A">
      <w:pPr>
        <w:rPr>
          <w:rFonts w:asciiTheme="minorHAnsi" w:hAnsiTheme="minorHAnsi" w:cstheme="minorHAnsi"/>
          <w:b/>
          <w:szCs w:val="24"/>
        </w:rPr>
      </w:pPr>
      <w:r w:rsidRPr="00F865E4">
        <w:rPr>
          <w:rFonts w:asciiTheme="minorHAnsi" w:hAnsiTheme="minorHAnsi" w:cstheme="minorHAnsi"/>
          <w:b/>
          <w:szCs w:val="24"/>
        </w:rPr>
        <w:t>Annex C: Clinical Governance</w:t>
      </w:r>
    </w:p>
    <w:p w14:paraId="37183B74" w14:textId="77777777" w:rsidR="00F865E4" w:rsidRDefault="00F865E4" w:rsidP="003B5B7A">
      <w:pPr>
        <w:rPr>
          <w:rFonts w:asciiTheme="minorHAnsi" w:hAnsiTheme="minorHAnsi" w:cstheme="minorHAnsi"/>
          <w:szCs w:val="24"/>
          <w:lang w:val="en-US" w:eastAsia="en-US"/>
        </w:rPr>
      </w:pPr>
    </w:p>
    <w:p w14:paraId="184E5EFF" w14:textId="72BF7C80" w:rsidR="003B5B7A" w:rsidRPr="00F865E4" w:rsidRDefault="003B5B7A" w:rsidP="003B5B7A">
      <w:pPr>
        <w:rPr>
          <w:rFonts w:asciiTheme="minorHAnsi" w:hAnsiTheme="minorHAnsi" w:cstheme="minorHAnsi"/>
          <w:szCs w:val="24"/>
          <w:lang w:val="en-US" w:eastAsia="en-US"/>
        </w:rPr>
      </w:pPr>
      <w:r w:rsidRPr="00F865E4">
        <w:rPr>
          <w:rFonts w:asciiTheme="minorHAnsi" w:hAnsiTheme="minorHAnsi" w:cstheme="minorHAnsi"/>
          <w:szCs w:val="24"/>
          <w:lang w:val="en-US" w:eastAsia="en-US"/>
        </w:rPr>
        <w:t xml:space="preserve">A requirement of the public health service contract is that any </w:t>
      </w:r>
      <w:r w:rsidR="0005088E" w:rsidRPr="00F865E4">
        <w:rPr>
          <w:rFonts w:asciiTheme="minorHAnsi" w:hAnsiTheme="minorHAnsi" w:cstheme="minorHAnsi"/>
          <w:szCs w:val="24"/>
          <w:lang w:val="en-US" w:eastAsia="en-US"/>
        </w:rPr>
        <w:t xml:space="preserve">patient safety events </w:t>
      </w:r>
      <w:r w:rsidRPr="00F865E4">
        <w:rPr>
          <w:rFonts w:asciiTheme="minorHAnsi" w:hAnsiTheme="minorHAnsi" w:cstheme="minorHAnsi"/>
          <w:szCs w:val="24"/>
          <w:lang w:val="en-US" w:eastAsia="en-US"/>
        </w:rPr>
        <w:t>relating to public health services should be reported to enable us to take any appropriate action.  Actions which might be taken as a result of such report</w:t>
      </w:r>
      <w:r w:rsidR="0005088E" w:rsidRPr="00F865E4">
        <w:rPr>
          <w:rFonts w:asciiTheme="minorHAnsi" w:hAnsiTheme="minorHAnsi" w:cstheme="minorHAnsi"/>
          <w:szCs w:val="24"/>
          <w:lang w:val="en-US" w:eastAsia="en-US"/>
        </w:rPr>
        <w:t>ing</w:t>
      </w:r>
      <w:r w:rsidRPr="00F865E4">
        <w:rPr>
          <w:rFonts w:asciiTheme="minorHAnsi" w:hAnsiTheme="minorHAnsi" w:cstheme="minorHAnsi"/>
          <w:szCs w:val="24"/>
          <w:lang w:val="en-US" w:eastAsia="en-US"/>
        </w:rPr>
        <w:t xml:space="preserve"> may be </w:t>
      </w:r>
      <w:proofErr w:type="gramStart"/>
      <w:r w:rsidRPr="00F865E4">
        <w:rPr>
          <w:rFonts w:asciiTheme="minorHAnsi" w:hAnsiTheme="minorHAnsi" w:cstheme="minorHAnsi"/>
          <w:szCs w:val="24"/>
          <w:lang w:val="en-US" w:eastAsia="en-US"/>
        </w:rPr>
        <w:t>to:-</w:t>
      </w:r>
      <w:proofErr w:type="gramEnd"/>
    </w:p>
    <w:p w14:paraId="6DBE38A7" w14:textId="4A6AED51" w:rsidR="0005088E" w:rsidRPr="00F865E4" w:rsidRDefault="0005088E" w:rsidP="003B5B7A">
      <w:pPr>
        <w:numPr>
          <w:ilvl w:val="0"/>
          <w:numId w:val="1"/>
        </w:numPr>
        <w:rPr>
          <w:rFonts w:asciiTheme="minorHAnsi" w:hAnsiTheme="minorHAnsi" w:cstheme="minorHAnsi"/>
          <w:szCs w:val="24"/>
          <w:lang w:val="en-US" w:eastAsia="en-US"/>
        </w:rPr>
      </w:pPr>
      <w:r w:rsidRPr="00F865E4">
        <w:rPr>
          <w:rFonts w:asciiTheme="minorHAnsi" w:hAnsiTheme="minorHAnsi" w:cstheme="minorHAnsi"/>
          <w:szCs w:val="24"/>
          <w:lang w:val="en-US" w:eastAsia="en-US"/>
        </w:rPr>
        <w:t xml:space="preserve">Insight-sharing learning to improve patient care and patient safety outcomes; improve the patient experience, reduce complaints and patient </w:t>
      </w:r>
      <w:proofErr w:type="gramStart"/>
      <w:r w:rsidRPr="00F865E4">
        <w:rPr>
          <w:rFonts w:asciiTheme="minorHAnsi" w:hAnsiTheme="minorHAnsi" w:cstheme="minorHAnsi"/>
          <w:szCs w:val="24"/>
          <w:lang w:val="en-US" w:eastAsia="en-US"/>
        </w:rPr>
        <w:t>harm</w:t>
      </w:r>
      <w:proofErr w:type="gramEnd"/>
    </w:p>
    <w:p w14:paraId="119F09F9" w14:textId="4D8A7789" w:rsidR="003B5B7A" w:rsidRPr="00F865E4" w:rsidRDefault="0005088E" w:rsidP="0005088E">
      <w:pPr>
        <w:numPr>
          <w:ilvl w:val="0"/>
          <w:numId w:val="1"/>
        </w:numPr>
        <w:rPr>
          <w:rFonts w:asciiTheme="minorHAnsi" w:hAnsiTheme="minorHAnsi" w:cstheme="minorHAnsi"/>
          <w:szCs w:val="24"/>
          <w:lang w:val="en-US" w:eastAsia="en-US"/>
        </w:rPr>
      </w:pPr>
      <w:r w:rsidRPr="00F865E4">
        <w:rPr>
          <w:rFonts w:asciiTheme="minorHAnsi" w:hAnsiTheme="minorHAnsi" w:cstheme="minorHAnsi"/>
          <w:szCs w:val="24"/>
          <w:lang w:val="en-US" w:eastAsia="en-US"/>
        </w:rPr>
        <w:t xml:space="preserve">Involvement-involve everyone in patient safety including staff and patients; improve knowledge through training in patient safety and quality improvement. </w:t>
      </w:r>
      <w:r w:rsidR="003B5B7A" w:rsidRPr="00F865E4">
        <w:rPr>
          <w:rFonts w:asciiTheme="minorHAnsi" w:hAnsiTheme="minorHAnsi" w:cstheme="minorHAnsi"/>
          <w:szCs w:val="24"/>
          <w:lang w:val="en-US" w:eastAsia="en-US"/>
        </w:rPr>
        <w:t xml:space="preserve"> </w:t>
      </w:r>
    </w:p>
    <w:p w14:paraId="5EB2B19C" w14:textId="5F747F35" w:rsidR="003B5B7A" w:rsidRPr="00F865E4" w:rsidRDefault="0005088E" w:rsidP="00386879">
      <w:pPr>
        <w:numPr>
          <w:ilvl w:val="0"/>
          <w:numId w:val="1"/>
        </w:numPr>
        <w:rPr>
          <w:rFonts w:asciiTheme="minorHAnsi" w:hAnsiTheme="minorHAnsi" w:cstheme="minorHAnsi"/>
          <w:szCs w:val="24"/>
          <w:lang w:val="en-US" w:eastAsia="en-US"/>
        </w:rPr>
      </w:pPr>
      <w:r w:rsidRPr="00F865E4">
        <w:rPr>
          <w:rFonts w:asciiTheme="minorHAnsi" w:hAnsiTheme="minorHAnsi" w:cstheme="minorHAnsi"/>
          <w:szCs w:val="24"/>
          <w:lang w:val="en-US" w:eastAsia="en-US"/>
        </w:rPr>
        <w:t>Improvement-focused patient safety improvement, supporting teams to prevent harm and sharing themes to develop</w:t>
      </w:r>
      <w:r w:rsidR="003B5B7A" w:rsidRPr="00F865E4">
        <w:rPr>
          <w:rFonts w:asciiTheme="minorHAnsi" w:hAnsiTheme="minorHAnsi" w:cstheme="minorHAnsi"/>
          <w:szCs w:val="24"/>
          <w:lang w:val="en-US" w:eastAsia="en-US"/>
        </w:rPr>
        <w:t xml:space="preserve"> protocols </w:t>
      </w:r>
      <w:r w:rsidR="00386879" w:rsidRPr="00F865E4">
        <w:rPr>
          <w:rFonts w:asciiTheme="minorHAnsi" w:hAnsiTheme="minorHAnsi" w:cstheme="minorHAnsi"/>
          <w:szCs w:val="24"/>
          <w:lang w:val="en-US" w:eastAsia="en-US"/>
        </w:rPr>
        <w:t>and processes to enable change</w:t>
      </w:r>
      <w:r w:rsidR="00DB47A9" w:rsidRPr="00F865E4">
        <w:rPr>
          <w:rFonts w:asciiTheme="minorHAnsi" w:hAnsiTheme="minorHAnsi" w:cstheme="minorHAnsi"/>
          <w:szCs w:val="24"/>
          <w:lang w:val="en-US" w:eastAsia="en-US"/>
        </w:rPr>
        <w:t>.</w:t>
      </w:r>
    </w:p>
    <w:p w14:paraId="0854838B" w14:textId="77777777" w:rsidR="003B5B7A" w:rsidRPr="00F865E4" w:rsidRDefault="003B5B7A" w:rsidP="003B5B7A">
      <w:pPr>
        <w:rPr>
          <w:rFonts w:asciiTheme="minorHAnsi" w:hAnsiTheme="minorHAnsi" w:cstheme="minorHAnsi"/>
          <w:szCs w:val="24"/>
          <w:lang w:val="en-US" w:eastAsia="en-US"/>
        </w:rPr>
      </w:pPr>
    </w:p>
    <w:p w14:paraId="715ACFFD" w14:textId="2217734C" w:rsidR="00386879" w:rsidRPr="00F865E4" w:rsidRDefault="00386879" w:rsidP="003B5B7A">
      <w:pPr>
        <w:rPr>
          <w:rFonts w:asciiTheme="minorHAnsi" w:hAnsiTheme="minorHAnsi" w:cstheme="minorHAnsi"/>
          <w:szCs w:val="24"/>
          <w:lang w:val="en-US" w:eastAsia="en-US"/>
        </w:rPr>
      </w:pPr>
      <w:r w:rsidRPr="00F865E4">
        <w:rPr>
          <w:rFonts w:asciiTheme="minorHAnsi" w:hAnsiTheme="minorHAnsi" w:cstheme="minorHAnsi"/>
          <w:szCs w:val="24"/>
          <w:lang w:val="en-US" w:eastAsia="en-US"/>
        </w:rPr>
        <w:t xml:space="preserve">The commissioner will look at processes and systems to monitor patient safety especially where the following has occurred: </w:t>
      </w:r>
    </w:p>
    <w:p w14:paraId="1D67BD87" w14:textId="77777777" w:rsidR="003B5B7A" w:rsidRPr="00F865E4" w:rsidRDefault="003B5B7A" w:rsidP="003B5B7A">
      <w:pPr>
        <w:rPr>
          <w:rFonts w:asciiTheme="minorHAnsi" w:hAnsiTheme="minorHAnsi" w:cstheme="minorHAnsi"/>
          <w:szCs w:val="24"/>
          <w:lang w:val="en-US" w:eastAsia="en-US"/>
        </w:rPr>
      </w:pPr>
    </w:p>
    <w:p w14:paraId="28A80A58" w14:textId="77777777" w:rsidR="00386879" w:rsidRPr="00F865E4" w:rsidRDefault="00386879" w:rsidP="00DB47A9">
      <w:pPr>
        <w:numPr>
          <w:ilvl w:val="0"/>
          <w:numId w:val="1"/>
        </w:numPr>
        <w:rPr>
          <w:rFonts w:asciiTheme="minorHAnsi" w:hAnsiTheme="minorHAnsi" w:cstheme="minorHAnsi"/>
          <w:szCs w:val="24"/>
          <w:lang w:val="en-US" w:eastAsia="en-US"/>
        </w:rPr>
      </w:pPr>
      <w:r w:rsidRPr="00F865E4">
        <w:rPr>
          <w:rFonts w:asciiTheme="minorHAnsi" w:hAnsiTheme="minorHAnsi" w:cstheme="minorHAnsi"/>
          <w:szCs w:val="24"/>
          <w:lang w:val="en-US" w:eastAsia="en-US"/>
        </w:rPr>
        <w:t>a patient was harmed or could have been harmed. For example, an unsafe discharge.</w:t>
      </w:r>
    </w:p>
    <w:p w14:paraId="51A1891D" w14:textId="77777777" w:rsidR="00386879" w:rsidRPr="00F865E4" w:rsidRDefault="00386879" w:rsidP="00DB47A9">
      <w:pPr>
        <w:numPr>
          <w:ilvl w:val="0"/>
          <w:numId w:val="1"/>
        </w:numPr>
        <w:rPr>
          <w:rFonts w:asciiTheme="minorHAnsi" w:hAnsiTheme="minorHAnsi" w:cstheme="minorHAnsi"/>
          <w:szCs w:val="24"/>
          <w:lang w:val="en-US" w:eastAsia="en-US"/>
        </w:rPr>
      </w:pPr>
      <w:r w:rsidRPr="00F865E4">
        <w:rPr>
          <w:rFonts w:asciiTheme="minorHAnsi" w:hAnsiTheme="minorHAnsi" w:cstheme="minorHAnsi"/>
          <w:szCs w:val="24"/>
          <w:lang w:val="en-US" w:eastAsia="en-US"/>
        </w:rPr>
        <w:t>there has been a poor outcome, but it is not yet clear whether an incident contributed or not.</w:t>
      </w:r>
    </w:p>
    <w:p w14:paraId="3D1611C0" w14:textId="77777777" w:rsidR="00386879" w:rsidRPr="00F865E4" w:rsidRDefault="00386879" w:rsidP="00DB47A9">
      <w:pPr>
        <w:numPr>
          <w:ilvl w:val="0"/>
          <w:numId w:val="1"/>
        </w:numPr>
        <w:rPr>
          <w:rFonts w:asciiTheme="minorHAnsi" w:hAnsiTheme="minorHAnsi" w:cstheme="minorHAnsi"/>
          <w:szCs w:val="24"/>
          <w:lang w:val="en-US" w:eastAsia="en-US"/>
        </w:rPr>
      </w:pPr>
      <w:r w:rsidRPr="00F865E4">
        <w:rPr>
          <w:rFonts w:asciiTheme="minorHAnsi" w:hAnsiTheme="minorHAnsi" w:cstheme="minorHAnsi"/>
          <w:szCs w:val="24"/>
          <w:lang w:val="en-US" w:eastAsia="en-US"/>
        </w:rPr>
        <w:t>risks to patient safety in the future have been identified.</w:t>
      </w:r>
    </w:p>
    <w:p w14:paraId="12B3C207" w14:textId="77777777" w:rsidR="00386879" w:rsidRPr="00F865E4" w:rsidRDefault="00386879" w:rsidP="00DB47A9">
      <w:pPr>
        <w:numPr>
          <w:ilvl w:val="0"/>
          <w:numId w:val="1"/>
        </w:numPr>
        <w:rPr>
          <w:rFonts w:asciiTheme="minorHAnsi" w:hAnsiTheme="minorHAnsi" w:cstheme="minorHAnsi"/>
          <w:szCs w:val="24"/>
          <w:lang w:val="en-US" w:eastAsia="en-US"/>
        </w:rPr>
      </w:pPr>
      <w:r w:rsidRPr="00F865E4">
        <w:rPr>
          <w:rFonts w:asciiTheme="minorHAnsi" w:hAnsiTheme="minorHAnsi" w:cstheme="minorHAnsi"/>
          <w:szCs w:val="24"/>
          <w:lang w:val="en-US" w:eastAsia="en-US"/>
        </w:rPr>
        <w:t>safe and effective care has been delivered that could be learned from to improve patient safety.</w:t>
      </w:r>
    </w:p>
    <w:p w14:paraId="07CB07EB" w14:textId="77777777" w:rsidR="00386879" w:rsidRPr="00F865E4" w:rsidRDefault="00386879" w:rsidP="003B5B7A">
      <w:pPr>
        <w:rPr>
          <w:rFonts w:asciiTheme="minorHAnsi" w:hAnsiTheme="minorHAnsi" w:cstheme="minorHAnsi"/>
          <w:szCs w:val="24"/>
          <w:lang w:val="en-US" w:eastAsia="en-US"/>
        </w:rPr>
      </w:pPr>
    </w:p>
    <w:p w14:paraId="1AEA17AF" w14:textId="77777777" w:rsidR="00386879" w:rsidRPr="00F865E4" w:rsidRDefault="00386879" w:rsidP="003B5B7A">
      <w:pPr>
        <w:rPr>
          <w:rFonts w:asciiTheme="minorHAnsi" w:hAnsiTheme="minorHAnsi" w:cstheme="minorHAnsi"/>
          <w:szCs w:val="24"/>
          <w:lang w:val="en-US" w:eastAsia="en-US"/>
        </w:rPr>
      </w:pPr>
      <w:r w:rsidRPr="00F865E4">
        <w:rPr>
          <w:rFonts w:asciiTheme="minorHAnsi" w:hAnsiTheme="minorHAnsi" w:cstheme="minorHAnsi"/>
          <w:szCs w:val="24"/>
          <w:lang w:val="en-US" w:eastAsia="en-US"/>
        </w:rPr>
        <w:t>For all patient safety events we would request that:</w:t>
      </w:r>
    </w:p>
    <w:p w14:paraId="087F633D" w14:textId="77777777" w:rsidR="00386879" w:rsidRPr="00F865E4" w:rsidRDefault="00386879" w:rsidP="003B5B7A">
      <w:pPr>
        <w:rPr>
          <w:rFonts w:asciiTheme="minorHAnsi" w:hAnsiTheme="minorHAnsi" w:cstheme="minorHAnsi"/>
          <w:szCs w:val="24"/>
          <w:lang w:val="en-US" w:eastAsia="en-US"/>
        </w:rPr>
      </w:pPr>
    </w:p>
    <w:p w14:paraId="6A00C491" w14:textId="33478D4C" w:rsidR="00386879" w:rsidRPr="00F865E4" w:rsidRDefault="00386879" w:rsidP="00386879">
      <w:pPr>
        <w:numPr>
          <w:ilvl w:val="0"/>
          <w:numId w:val="1"/>
        </w:numPr>
        <w:rPr>
          <w:rFonts w:asciiTheme="minorHAnsi" w:hAnsiTheme="minorHAnsi" w:cstheme="minorHAnsi"/>
          <w:szCs w:val="24"/>
          <w:lang w:val="en-US" w:eastAsia="en-US"/>
        </w:rPr>
      </w:pPr>
      <w:r w:rsidRPr="00F865E4">
        <w:rPr>
          <w:rFonts w:asciiTheme="minorHAnsi" w:hAnsiTheme="minorHAnsi" w:cstheme="minorHAnsi"/>
          <w:szCs w:val="24"/>
          <w:lang w:val="en-US" w:eastAsia="en-US"/>
        </w:rPr>
        <w:t xml:space="preserve">Continue to record patient safety events within the practice and report via the Datix Contact Us portal. </w:t>
      </w:r>
      <w:hyperlink r:id="rId8" w:history="1">
        <w:r w:rsidRPr="00F865E4">
          <w:rPr>
            <w:rFonts w:asciiTheme="minorHAnsi" w:hAnsiTheme="minorHAnsi" w:cstheme="minorHAnsi"/>
            <w:szCs w:val="24"/>
            <w:lang w:val="en-US" w:eastAsia="en-US"/>
          </w:rPr>
          <w:t>Datix: Live NHS BRISTOL, North Somerset and South Gloucestershire ICB Patient Safety Event Reporting Form (DIF1) www.bnssgicb.nhs.uk (scwcsu.nhs.uk)</w:t>
        </w:r>
      </w:hyperlink>
    </w:p>
    <w:p w14:paraId="18527F19" w14:textId="0DB72659" w:rsidR="00386879" w:rsidRPr="00F865E4" w:rsidRDefault="00386879" w:rsidP="00DB47A9">
      <w:pPr>
        <w:numPr>
          <w:ilvl w:val="0"/>
          <w:numId w:val="1"/>
        </w:numPr>
        <w:rPr>
          <w:rFonts w:asciiTheme="minorHAnsi" w:hAnsiTheme="minorHAnsi" w:cstheme="minorHAnsi"/>
          <w:szCs w:val="24"/>
          <w:lang w:val="en-US" w:eastAsia="en-US"/>
        </w:rPr>
      </w:pPr>
      <w:r w:rsidRPr="00F865E4">
        <w:rPr>
          <w:rFonts w:asciiTheme="minorHAnsi" w:hAnsiTheme="minorHAnsi" w:cstheme="minorHAnsi"/>
          <w:szCs w:val="24"/>
          <w:lang w:val="en-US" w:eastAsia="en-US"/>
        </w:rPr>
        <w:t xml:space="preserve">Register and use the new Learning from Patient Safety </w:t>
      </w:r>
      <w:proofErr w:type="gramStart"/>
      <w:r w:rsidRPr="00F865E4">
        <w:rPr>
          <w:rFonts w:asciiTheme="minorHAnsi" w:hAnsiTheme="minorHAnsi" w:cstheme="minorHAnsi"/>
          <w:szCs w:val="24"/>
          <w:lang w:val="en-US" w:eastAsia="en-US"/>
        </w:rPr>
        <w:t>Events(</w:t>
      </w:r>
      <w:proofErr w:type="gramEnd"/>
      <w:r w:rsidRPr="00F865E4">
        <w:rPr>
          <w:rFonts w:asciiTheme="minorHAnsi" w:hAnsiTheme="minorHAnsi" w:cstheme="minorHAnsi"/>
          <w:szCs w:val="24"/>
          <w:lang w:val="en-US" w:eastAsia="en-US"/>
        </w:rPr>
        <w:t xml:space="preserve">LfPSE) platform. </w:t>
      </w:r>
      <w:hyperlink r:id="rId9" w:history="1">
        <w:r w:rsidRPr="00F865E4">
          <w:rPr>
            <w:rFonts w:asciiTheme="minorHAnsi" w:hAnsiTheme="minorHAnsi" w:cstheme="minorHAnsi"/>
            <w:szCs w:val="24"/>
            <w:lang w:val="en-US" w:eastAsia="en-US"/>
          </w:rPr>
          <w:t>LFPSE Incident Recording - Set up an account to continue (learn-from-patient-safety-events.nhs.uk)</w:t>
        </w:r>
      </w:hyperlink>
    </w:p>
    <w:p w14:paraId="72E49E13" w14:textId="35DC49BC" w:rsidR="00386879" w:rsidRPr="00F865E4" w:rsidRDefault="00386879" w:rsidP="00DB47A9">
      <w:pPr>
        <w:numPr>
          <w:ilvl w:val="0"/>
          <w:numId w:val="1"/>
        </w:numPr>
        <w:rPr>
          <w:rFonts w:asciiTheme="minorHAnsi" w:hAnsiTheme="minorHAnsi" w:cstheme="minorHAnsi"/>
          <w:szCs w:val="24"/>
          <w:lang w:val="en-US" w:eastAsia="en-US"/>
        </w:rPr>
      </w:pPr>
      <w:r w:rsidRPr="00F865E4">
        <w:rPr>
          <w:rFonts w:asciiTheme="minorHAnsi" w:hAnsiTheme="minorHAnsi" w:cstheme="minorHAnsi"/>
          <w:szCs w:val="24"/>
          <w:lang w:val="en-US" w:eastAsia="en-US"/>
        </w:rPr>
        <w:t>All staff to complete NHS patient safety syllabus training levels 1 and 2(by date to be confirmed)</w:t>
      </w:r>
    </w:p>
    <w:p w14:paraId="1D14672E" w14:textId="77777777" w:rsidR="00386879" w:rsidRPr="00F865E4" w:rsidRDefault="00386879" w:rsidP="003B5B7A">
      <w:pPr>
        <w:rPr>
          <w:rFonts w:asciiTheme="minorHAnsi" w:hAnsiTheme="minorHAnsi" w:cstheme="minorHAnsi"/>
          <w:szCs w:val="24"/>
          <w:lang w:val="en-US" w:eastAsia="en-US"/>
        </w:rPr>
      </w:pPr>
    </w:p>
    <w:p w14:paraId="2FDE9E6A" w14:textId="74A45597" w:rsidR="003B5B7A" w:rsidRPr="00F865E4" w:rsidRDefault="00386879" w:rsidP="003B5B7A">
      <w:pPr>
        <w:rPr>
          <w:rFonts w:asciiTheme="minorHAnsi" w:hAnsiTheme="minorHAnsi" w:cstheme="minorHAnsi"/>
          <w:szCs w:val="24"/>
          <w:lang w:val="en-US" w:eastAsia="en-US"/>
        </w:rPr>
      </w:pPr>
      <w:r w:rsidRPr="00F865E4">
        <w:rPr>
          <w:rFonts w:asciiTheme="minorHAnsi" w:hAnsiTheme="minorHAnsi" w:cstheme="minorHAnsi"/>
          <w:szCs w:val="24"/>
          <w:lang w:val="en-US" w:eastAsia="en-US"/>
        </w:rPr>
        <w:t xml:space="preserve">The BNSSG Integrated Care Board </w:t>
      </w:r>
      <w:r w:rsidR="003B5B7A" w:rsidRPr="00F865E4">
        <w:rPr>
          <w:rFonts w:asciiTheme="minorHAnsi" w:hAnsiTheme="minorHAnsi" w:cstheme="minorHAnsi"/>
          <w:szCs w:val="24"/>
          <w:lang w:val="en-US" w:eastAsia="en-US"/>
        </w:rPr>
        <w:t>will then pass this information onto us as the commissioner.</w:t>
      </w:r>
      <w:r w:rsidRPr="00F865E4">
        <w:rPr>
          <w:rFonts w:asciiTheme="minorHAnsi" w:hAnsiTheme="minorHAnsi" w:cstheme="minorHAnsi"/>
          <w:szCs w:val="24"/>
          <w:lang w:val="en-US" w:eastAsia="en-US"/>
        </w:rPr>
        <w:t xml:space="preserve"> There is a new Patient Safety Strategy which is being implemented and this information will therefore be updated. </w:t>
      </w:r>
    </w:p>
    <w:p w14:paraId="0A700F18" w14:textId="77777777" w:rsidR="003B5B7A" w:rsidRPr="00F865E4" w:rsidRDefault="003B5B7A" w:rsidP="003B5B7A">
      <w:pPr>
        <w:rPr>
          <w:rFonts w:asciiTheme="minorHAnsi" w:hAnsiTheme="minorHAnsi" w:cstheme="minorHAnsi"/>
          <w:szCs w:val="24"/>
          <w:lang w:val="en-US" w:eastAsia="en-US"/>
        </w:rPr>
      </w:pPr>
    </w:p>
    <w:p w14:paraId="07FFC33F" w14:textId="77777777" w:rsidR="003B5B7A" w:rsidRPr="00F865E4" w:rsidRDefault="003B5B7A" w:rsidP="003B5B7A">
      <w:pPr>
        <w:rPr>
          <w:rFonts w:asciiTheme="minorHAnsi" w:hAnsiTheme="minorHAnsi" w:cstheme="minorHAnsi"/>
          <w:i/>
          <w:iCs/>
        </w:rPr>
      </w:pPr>
      <w:r w:rsidRPr="00F865E4">
        <w:rPr>
          <w:rFonts w:asciiTheme="minorHAnsi" w:hAnsiTheme="minorHAnsi" w:cstheme="minorHAnsi"/>
          <w:szCs w:val="24"/>
          <w:lang w:val="en-US" w:eastAsia="en-US"/>
        </w:rPr>
        <w:t xml:space="preserve">For further advice on incident reporting in relation to public health services, please feel free to contact the Bristol Public Health Commissioning Team on </w:t>
      </w:r>
      <w:hyperlink r:id="rId10" w:history="1">
        <w:r w:rsidRPr="00F865E4">
          <w:rPr>
            <w:rStyle w:val="Hyperlink"/>
            <w:rFonts w:asciiTheme="minorHAnsi" w:hAnsiTheme="minorHAnsi" w:cstheme="minorHAnsi"/>
            <w:iCs/>
            <w:color w:val="auto"/>
          </w:rPr>
          <w:t>ph.commissioning@bristol.gov.uk</w:t>
        </w:r>
      </w:hyperlink>
    </w:p>
    <w:p w14:paraId="79F1EBD9" w14:textId="77777777" w:rsidR="003B5B7A" w:rsidRPr="00F865E4" w:rsidRDefault="003B5B7A" w:rsidP="003B5B7A">
      <w:pPr>
        <w:rPr>
          <w:rFonts w:asciiTheme="minorHAnsi" w:hAnsiTheme="minorHAnsi" w:cstheme="minorHAnsi"/>
          <w:i/>
          <w:iCs/>
        </w:rPr>
      </w:pPr>
    </w:p>
    <w:p w14:paraId="50F1EB3A" w14:textId="77777777" w:rsidR="001D14DC" w:rsidRPr="00F865E4" w:rsidRDefault="001D14DC"/>
    <w:sectPr w:rsidR="001D14DC" w:rsidRPr="00F86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7BC2"/>
    <w:multiLevelType w:val="hybridMultilevel"/>
    <w:tmpl w:val="05D06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43516"/>
    <w:multiLevelType w:val="hybridMultilevel"/>
    <w:tmpl w:val="99BAE6F4"/>
    <w:lvl w:ilvl="0" w:tplc="C0225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A9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8D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1E3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009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76D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380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24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08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E102365"/>
    <w:multiLevelType w:val="hybridMultilevel"/>
    <w:tmpl w:val="0F0C829E"/>
    <w:lvl w:ilvl="0" w:tplc="68C85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3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04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4A9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F0A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45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68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BCD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C6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20066078">
    <w:abstractNumId w:val="0"/>
  </w:num>
  <w:num w:numId="2" w16cid:durableId="960382941">
    <w:abstractNumId w:val="2"/>
  </w:num>
  <w:num w:numId="3" w16cid:durableId="1463042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7A"/>
    <w:rsid w:val="0005088E"/>
    <w:rsid w:val="001D14DC"/>
    <w:rsid w:val="00386879"/>
    <w:rsid w:val="003B5B7A"/>
    <w:rsid w:val="005B33D1"/>
    <w:rsid w:val="00C14C90"/>
    <w:rsid w:val="00DB47A9"/>
    <w:rsid w:val="00F8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D3548"/>
  <w15:docId w15:val="{AFC2CB90-8BF2-4312-AD19-447D7AE9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5B7A"/>
    <w:rPr>
      <w:color w:val="0000FF"/>
      <w:u w:val="single"/>
    </w:rPr>
  </w:style>
  <w:style w:type="paragraph" w:styleId="Revision">
    <w:name w:val="Revision"/>
    <w:hidden/>
    <w:uiPriority w:val="99"/>
    <w:semiHidden/>
    <w:rsid w:val="000508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86879"/>
    <w:pPr>
      <w:ind w:left="720"/>
      <w:contextualSpacing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14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4C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C9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C9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5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6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1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nssg-datix.scwcsu.nhs.uk/index.php?form_id=14&amp;module=IN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h.commissioning@bristol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record.learn-from-patient-safety-events.nhs.uk/set-up-an-accou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ab07e4-0c82-4b2b-a593-b20d080ac058" xsi:nil="true"/>
    <lcf76f155ced4ddcb4097134ff3c332f xmlns="ba9f13bd-3a06-4d25-8e69-825d75d35faf">
      <Terms xmlns="http://schemas.microsoft.com/office/infopath/2007/PartnerControls"/>
    </lcf76f155ced4ddcb4097134ff3c332f>
    <SharedWithUsers xmlns="a9ab07e4-0c82-4b2b-a593-b20d080ac058">
      <UserInfo>
        <DisplayName>Rachel Metcalfe</DisplayName>
        <AccountId>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2003969369543A61E8970C7B70124" ma:contentTypeVersion="19" ma:contentTypeDescription="Create a new document." ma:contentTypeScope="" ma:versionID="85354e1b0f6c375a7002ba44497f6b1f">
  <xsd:schema xmlns:xsd="http://www.w3.org/2001/XMLSchema" xmlns:xs="http://www.w3.org/2001/XMLSchema" xmlns:p="http://schemas.microsoft.com/office/2006/metadata/properties" xmlns:ns2="ba9f13bd-3a06-4d25-8e69-825d75d35faf" xmlns:ns3="a9ab07e4-0c82-4b2b-a593-b20d080ac058" targetNamespace="http://schemas.microsoft.com/office/2006/metadata/properties" ma:root="true" ma:fieldsID="1ffa9e3ada08b136de75f754b49e5355" ns2:_="" ns3:_="">
    <xsd:import namespace="ba9f13bd-3a06-4d25-8e69-825d75d35faf"/>
    <xsd:import namespace="a9ab07e4-0c82-4b2b-a593-b20d080ac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f13bd-3a06-4d25-8e69-825d75d35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f50c9d-bc8f-48ed-ba3c-7168a5cdc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b07e4-0c82-4b2b-a593-b20d080ac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44e31-7dde-4ebc-83d0-3326ba4097b5}" ma:internalName="TaxCatchAll" ma:showField="CatchAllData" ma:web="a9ab07e4-0c82-4b2b-a593-b20d080ac0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12DDE-D310-46FD-AF0C-30DF0A03DF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01D6A-8682-43B4-B80B-20BF07D6A546}">
  <ds:schemaRefs>
    <ds:schemaRef ds:uri="a9ab07e4-0c82-4b2b-a593-b20d080ac058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a9f13bd-3a06-4d25-8e69-825d75d35fa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5A2120-FC17-4D26-8B7A-B39E627E5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f13bd-3a06-4d25-8e69-825d75d35faf"/>
    <ds:schemaRef ds:uri="a9ab07e4-0c82-4b2b-a593-b20d080ac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McNally</dc:creator>
  <cp:lastModifiedBy>Rachel Metcalfe</cp:lastModifiedBy>
  <cp:revision>2</cp:revision>
  <dcterms:created xsi:type="dcterms:W3CDTF">2024-04-02T07:03:00Z</dcterms:created>
  <dcterms:modified xsi:type="dcterms:W3CDTF">2024-04-02T07:03:00Z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0x0101008702003969369543A61E8970C7B70124</vt:lpwstr>
  </property>
  <property fmtid="{D5CDD505-2E9C-101B-9397-08002B2CF9AE}" pid="3" name="MediaServiceImageTags">
    <vt:lpwstr/>
  </property>
</Properties>
</file>