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A6A" w14:textId="7C4B5682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B73A13">
        <w:rPr>
          <w:rFonts w:cs="Arial"/>
          <w:b/>
          <w:sz w:val="28"/>
          <w:szCs w:val="28"/>
          <w:u w:val="single"/>
        </w:rPr>
        <w:t>20</w:t>
      </w:r>
      <w:r w:rsidR="00B73A13" w:rsidRPr="00B73A13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B73A13">
        <w:rPr>
          <w:rFonts w:cs="Arial"/>
          <w:b/>
          <w:sz w:val="28"/>
          <w:szCs w:val="28"/>
          <w:u w:val="single"/>
        </w:rPr>
        <w:t xml:space="preserve"> March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B73A13">
        <w:rPr>
          <w:rFonts w:cs="Arial"/>
          <w:b/>
          <w:sz w:val="28"/>
          <w:szCs w:val="28"/>
          <w:u w:val="single"/>
        </w:rPr>
        <w:t>4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74895DBA" w14:textId="77777777" w:rsidR="00422A3C" w:rsidRPr="00CC70B3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54DD9DAF" w14:textId="77777777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>9am – 5pm</w:t>
      </w: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13B6435A" w14:textId="52BA6154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Lisa Fisher, Richard Brown, </w:t>
      </w:r>
      <w:r w:rsidR="00F27443">
        <w:rPr>
          <w:rFonts w:cs="Arial"/>
        </w:rPr>
        <w:t>Heather Bla</w:t>
      </w:r>
      <w:r w:rsidR="00B2425E">
        <w:rPr>
          <w:rFonts w:cs="Arial"/>
        </w:rPr>
        <w:t>ndford, Morag McMeekin, Imran Ahmed, Phillip Bush, Andrew Jones, Simon Harris, Josh Edwards, John Hughes.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255F996C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1D65E2">
        <w:rPr>
          <w:rFonts w:cs="Arial"/>
        </w:rPr>
        <w:t>Tim Rendell, Philip Hunt</w:t>
      </w:r>
      <w:r w:rsidR="00DC33CA">
        <w:rPr>
          <w:rFonts w:cs="Arial"/>
        </w:rPr>
        <w:t>, Ramesh Yadav.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0B927736" w:rsidR="00422A3C" w:rsidRPr="00BB3C05" w:rsidRDefault="00422A3C" w:rsidP="00422A3C">
      <w:pPr>
        <w:rPr>
          <w:rFonts w:cs="Arial"/>
          <w:sz w:val="22"/>
          <w:szCs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BB3C05">
        <w:rPr>
          <w:rFonts w:cs="Arial"/>
          <w:sz w:val="22"/>
          <w:szCs w:val="22"/>
        </w:rPr>
        <w:t>None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1E21F0DB" w:rsidR="00422A3C" w:rsidRPr="005B3CBE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BB3C05" w:rsidRPr="00BB3C05">
        <w:rPr>
          <w:rFonts w:cs="Arial"/>
          <w:sz w:val="22"/>
          <w:szCs w:val="22"/>
        </w:rPr>
        <w:t>Morag.</w:t>
      </w:r>
    </w:p>
    <w:p w14:paraId="1145E006" w14:textId="77777777" w:rsidR="00422A3C" w:rsidRDefault="00422A3C" w:rsidP="00422A3C">
      <w:pPr>
        <w:rPr>
          <w:rFonts w:cs="Arial"/>
          <w:sz w:val="22"/>
        </w:rPr>
      </w:pPr>
    </w:p>
    <w:p w14:paraId="729D28FC" w14:textId="07D1EB23" w:rsidR="001D65E2" w:rsidRPr="001D65E2" w:rsidRDefault="001D65E2" w:rsidP="001D65E2">
      <w:pPr>
        <w:spacing w:before="40"/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Minutes and action points from previous meeting</w:t>
      </w:r>
      <w:r w:rsidR="007C54ED">
        <w:rPr>
          <w:rFonts w:cstheme="minorHAnsi"/>
          <w:u w:val="single"/>
        </w:rPr>
        <w:t xml:space="preserve"> </w:t>
      </w:r>
    </w:p>
    <w:p w14:paraId="06F5EB06" w14:textId="123A34D3" w:rsidR="002D6D46" w:rsidRDefault="002D6D46" w:rsidP="005473EE"/>
    <w:p w14:paraId="7EBBC17A" w14:textId="64B4A78C" w:rsidR="001D65E2" w:rsidRDefault="007C54ED" w:rsidP="005473EE">
      <w:pPr>
        <w:rPr>
          <w:sz w:val="22"/>
          <w:szCs w:val="22"/>
        </w:rPr>
      </w:pPr>
      <w:r>
        <w:rPr>
          <w:sz w:val="22"/>
          <w:szCs w:val="22"/>
        </w:rPr>
        <w:t>Agreed and will be posted to the website.</w:t>
      </w:r>
      <w:r w:rsidR="00BB3C05">
        <w:rPr>
          <w:sz w:val="22"/>
          <w:szCs w:val="22"/>
        </w:rPr>
        <w:t xml:space="preserve"> </w:t>
      </w:r>
    </w:p>
    <w:p w14:paraId="018C8C84" w14:textId="77777777" w:rsidR="0068463D" w:rsidRDefault="0068463D" w:rsidP="005473EE">
      <w:pPr>
        <w:rPr>
          <w:sz w:val="22"/>
          <w:szCs w:val="22"/>
        </w:rPr>
      </w:pPr>
    </w:p>
    <w:p w14:paraId="32157038" w14:textId="0FF7399E" w:rsidR="00B95BC3" w:rsidRDefault="00B95BC3" w:rsidP="005473EE">
      <w:pPr>
        <w:rPr>
          <w:sz w:val="22"/>
          <w:szCs w:val="22"/>
        </w:rPr>
      </w:pPr>
      <w:r>
        <w:rPr>
          <w:sz w:val="22"/>
          <w:szCs w:val="22"/>
        </w:rPr>
        <w:t>The committee reviewed the 3 governance documents prior to them being posted on the website.</w:t>
      </w:r>
    </w:p>
    <w:p w14:paraId="5750C1E8" w14:textId="77777777" w:rsidR="00EB75EA" w:rsidRDefault="00B95BC3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</w:t>
      </w:r>
      <w:r w:rsidR="0068463D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governance sub-committee and </w:t>
      </w:r>
      <w:r w:rsidR="0068463D">
        <w:rPr>
          <w:sz w:val="22"/>
          <w:szCs w:val="22"/>
        </w:rPr>
        <w:t>the reasons for having this.</w:t>
      </w:r>
      <w:r w:rsidR="00EB75EA">
        <w:rPr>
          <w:sz w:val="22"/>
          <w:szCs w:val="22"/>
        </w:rPr>
        <w:t xml:space="preserve"> </w:t>
      </w:r>
    </w:p>
    <w:p w14:paraId="39582861" w14:textId="1B364BA6" w:rsidR="00EB75EA" w:rsidRDefault="00EB75EA" w:rsidP="005473EE">
      <w:pPr>
        <w:rPr>
          <w:sz w:val="22"/>
          <w:szCs w:val="22"/>
        </w:rPr>
      </w:pPr>
      <w:r>
        <w:rPr>
          <w:sz w:val="22"/>
          <w:szCs w:val="22"/>
        </w:rPr>
        <w:t>The committee agree</w:t>
      </w:r>
      <w:r w:rsidR="00CD5D8E">
        <w:rPr>
          <w:sz w:val="22"/>
          <w:szCs w:val="22"/>
        </w:rPr>
        <w:t>d</w:t>
      </w:r>
      <w:r>
        <w:rPr>
          <w:sz w:val="22"/>
          <w:szCs w:val="22"/>
        </w:rPr>
        <w:t xml:space="preserve"> to form a sub-committee, they will </w:t>
      </w:r>
      <w:proofErr w:type="gramStart"/>
      <w:r>
        <w:rPr>
          <w:sz w:val="22"/>
          <w:szCs w:val="22"/>
        </w:rPr>
        <w:t>be in charge of</w:t>
      </w:r>
      <w:proofErr w:type="gramEnd"/>
      <w:r>
        <w:rPr>
          <w:sz w:val="22"/>
          <w:szCs w:val="22"/>
        </w:rPr>
        <w:t xml:space="preserve"> making sure this is reviewed regularly, but all decisions are made by the whole committee. </w:t>
      </w:r>
    </w:p>
    <w:p w14:paraId="1D6EA3F1" w14:textId="77777777" w:rsidR="002C4BAB" w:rsidRDefault="00EB75EA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RB has put the </w:t>
      </w:r>
      <w:proofErr w:type="gramStart"/>
      <w:r>
        <w:rPr>
          <w:sz w:val="22"/>
          <w:szCs w:val="22"/>
        </w:rPr>
        <w:t>19 point</w:t>
      </w:r>
      <w:proofErr w:type="gramEnd"/>
      <w:r>
        <w:rPr>
          <w:sz w:val="22"/>
          <w:szCs w:val="22"/>
        </w:rPr>
        <w:t xml:space="preserve"> list into a document that can be used to review governance on a regular basis. </w:t>
      </w:r>
    </w:p>
    <w:p w14:paraId="2C942041" w14:textId="0CEFB80B" w:rsidR="001D65E2" w:rsidRPr="00D021D4" w:rsidRDefault="00EB75EA" w:rsidP="005473EE">
      <w:pPr>
        <w:rPr>
          <w:sz w:val="22"/>
          <w:szCs w:val="22"/>
        </w:rPr>
      </w:pPr>
      <w:r>
        <w:rPr>
          <w:sz w:val="22"/>
          <w:szCs w:val="22"/>
        </w:rPr>
        <w:t xml:space="preserve">In the April meeting the committee will elect a sub-committee. This will be </w:t>
      </w:r>
      <w:r w:rsidR="002C4BAB">
        <w:rPr>
          <w:sz w:val="22"/>
          <w:szCs w:val="22"/>
        </w:rPr>
        <w:t xml:space="preserve">sent out to the whole committee to allow everyone (excluding exec members) to stand for the sub-committee. </w:t>
      </w:r>
    </w:p>
    <w:p w14:paraId="76123E7A" w14:textId="34F3CBE7" w:rsidR="001D65E2" w:rsidRPr="001D65E2" w:rsidRDefault="001D65E2" w:rsidP="005473EE">
      <w:pPr>
        <w:rPr>
          <w:rFonts w:cstheme="minorHAnsi"/>
          <w:u w:val="single"/>
        </w:rPr>
      </w:pPr>
    </w:p>
    <w:p w14:paraId="07E220E2" w14:textId="70F5666E" w:rsidR="001D65E2" w:rsidRDefault="001D65E2" w:rsidP="005473E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Merger Update</w:t>
      </w:r>
    </w:p>
    <w:p w14:paraId="11678C87" w14:textId="552C6343" w:rsidR="009E7209" w:rsidRDefault="009E7209" w:rsidP="005473EE">
      <w:pPr>
        <w:rPr>
          <w:rFonts w:cstheme="minorHAnsi"/>
          <w:u w:val="single"/>
        </w:rPr>
      </w:pPr>
    </w:p>
    <w:p w14:paraId="7D12E57B" w14:textId="77777777" w:rsidR="002C4BAB" w:rsidRPr="00461E51" w:rsidRDefault="002C4BAB" w:rsidP="002C4BA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Lisa provided an update to the committee.</w:t>
      </w:r>
    </w:p>
    <w:p w14:paraId="05E42EC3" w14:textId="1DE28FF6" w:rsidR="001D65E2" w:rsidRDefault="001D65E2" w:rsidP="005473EE">
      <w:pPr>
        <w:rPr>
          <w:rFonts w:cstheme="minorHAnsi"/>
          <w:u w:val="single"/>
        </w:rPr>
      </w:pPr>
    </w:p>
    <w:p w14:paraId="09648956" w14:textId="0F990943" w:rsidR="009E7209" w:rsidRDefault="009E7209" w:rsidP="009E7209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 xml:space="preserve">Finance and </w:t>
      </w:r>
      <w:r w:rsidR="000A2C23">
        <w:rPr>
          <w:rFonts w:cstheme="minorHAnsi"/>
          <w:u w:val="single"/>
        </w:rPr>
        <w:t>Performance Update</w:t>
      </w:r>
    </w:p>
    <w:p w14:paraId="17B98EC9" w14:textId="77777777" w:rsidR="001D65E2" w:rsidRPr="001D65E2" w:rsidRDefault="001D65E2" w:rsidP="005473EE">
      <w:pPr>
        <w:rPr>
          <w:rFonts w:cstheme="minorHAnsi"/>
          <w:sz w:val="22"/>
          <w:szCs w:val="22"/>
        </w:rPr>
      </w:pPr>
    </w:p>
    <w:p w14:paraId="2F36CDED" w14:textId="40BEF978" w:rsidR="001D65E2" w:rsidRDefault="00CA1E73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PB went through the </w:t>
      </w:r>
      <w:r w:rsidR="006C3973">
        <w:rPr>
          <w:rFonts w:cstheme="minorHAnsi"/>
          <w:sz w:val="22"/>
          <w:szCs w:val="22"/>
        </w:rPr>
        <w:t xml:space="preserve">bank </w:t>
      </w:r>
      <w:r>
        <w:rPr>
          <w:rFonts w:cstheme="minorHAnsi"/>
          <w:sz w:val="22"/>
          <w:szCs w:val="22"/>
        </w:rPr>
        <w:t xml:space="preserve">transactions </w:t>
      </w:r>
      <w:r w:rsidR="006C3973">
        <w:rPr>
          <w:rFonts w:cstheme="minorHAnsi"/>
          <w:sz w:val="22"/>
          <w:szCs w:val="22"/>
        </w:rPr>
        <w:t>and item numbers</w:t>
      </w:r>
      <w:r w:rsidR="00C3751C">
        <w:rPr>
          <w:rFonts w:cstheme="minorHAnsi"/>
          <w:sz w:val="22"/>
          <w:szCs w:val="22"/>
        </w:rPr>
        <w:t xml:space="preserve"> and services</w:t>
      </w:r>
      <w:r w:rsidR="006C3973">
        <w:rPr>
          <w:rFonts w:cstheme="minorHAnsi"/>
          <w:sz w:val="22"/>
          <w:szCs w:val="22"/>
        </w:rPr>
        <w:t xml:space="preserve"> for the past month.</w:t>
      </w:r>
    </w:p>
    <w:p w14:paraId="43DCA283" w14:textId="77777777" w:rsidR="000A2C23" w:rsidRDefault="000A2C23" w:rsidP="005473EE">
      <w:pPr>
        <w:rPr>
          <w:rFonts w:cstheme="minorHAnsi"/>
          <w:sz w:val="22"/>
          <w:szCs w:val="22"/>
        </w:rPr>
      </w:pPr>
    </w:p>
    <w:p w14:paraId="2912A0FE" w14:textId="323D293E" w:rsidR="000A2C23" w:rsidRDefault="000A2C23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delivery of ABPM service. The committee would consider running a training event if there is a big enough need for this. RB suggested obtaining data to find out if there is an issue. </w:t>
      </w:r>
    </w:p>
    <w:p w14:paraId="5E6FF96A" w14:textId="77777777" w:rsidR="009E7209" w:rsidRPr="001D65E2" w:rsidRDefault="009E7209" w:rsidP="005473EE">
      <w:pPr>
        <w:rPr>
          <w:rFonts w:cstheme="minorHAnsi"/>
          <w:u w:val="single"/>
        </w:rPr>
      </w:pPr>
    </w:p>
    <w:p w14:paraId="23890B84" w14:textId="44A77442" w:rsidR="001D65E2" w:rsidRDefault="001D65E2" w:rsidP="005473E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Scrutiny of Accounts</w:t>
      </w:r>
    </w:p>
    <w:p w14:paraId="6723ED81" w14:textId="685B4C6C" w:rsidR="001D65E2" w:rsidRDefault="001D65E2" w:rsidP="005473EE">
      <w:pPr>
        <w:rPr>
          <w:rFonts w:cstheme="minorHAnsi"/>
          <w:u w:val="single"/>
        </w:rPr>
      </w:pPr>
    </w:p>
    <w:p w14:paraId="118FADEB" w14:textId="0EC0EF98" w:rsidR="001D65E2" w:rsidRDefault="00DD3F3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looked through the transactions on Xero and scrutinised the large transactions for the past 3 months</w:t>
      </w:r>
      <w:r w:rsidR="00D021D4">
        <w:rPr>
          <w:rFonts w:cstheme="minorHAnsi"/>
          <w:sz w:val="22"/>
          <w:szCs w:val="22"/>
        </w:rPr>
        <w:t>, checking the invoices against the payments.</w:t>
      </w:r>
    </w:p>
    <w:p w14:paraId="1AB45B69" w14:textId="14237FAC" w:rsidR="00B6581E" w:rsidRDefault="00B6581E" w:rsidP="005473EE">
      <w:pPr>
        <w:rPr>
          <w:rFonts w:cstheme="minorHAnsi"/>
          <w:sz w:val="22"/>
          <w:szCs w:val="22"/>
        </w:rPr>
      </w:pPr>
    </w:p>
    <w:p w14:paraId="75A9252E" w14:textId="77777777" w:rsidR="00B6581E" w:rsidRDefault="00B6581E" w:rsidP="00B6581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Contract Application - ABSM Healthcare Ltd</w:t>
      </w:r>
    </w:p>
    <w:p w14:paraId="3CCDF106" w14:textId="5BAC296C" w:rsidR="003E3AE4" w:rsidRPr="003E3AE4" w:rsidRDefault="003E3AE4" w:rsidP="00B6581E">
      <w:pPr>
        <w:rPr>
          <w:rFonts w:cstheme="minorHAnsi"/>
        </w:rPr>
      </w:pPr>
      <w:r>
        <w:rPr>
          <w:rFonts w:cstheme="minorHAnsi"/>
        </w:rPr>
        <w:t>The committee review the relocation for the DSP in Bristol and had no comment to make.</w:t>
      </w:r>
    </w:p>
    <w:p w14:paraId="30E5A9A0" w14:textId="77777777" w:rsidR="00B6581E" w:rsidRPr="001D65E2" w:rsidRDefault="00B6581E" w:rsidP="005473EE">
      <w:pPr>
        <w:rPr>
          <w:rFonts w:cstheme="minorHAnsi"/>
          <w:sz w:val="22"/>
          <w:szCs w:val="22"/>
        </w:rPr>
      </w:pPr>
    </w:p>
    <w:p w14:paraId="27660020" w14:textId="0F1F8DDD" w:rsidR="001D65E2" w:rsidRPr="001D65E2" w:rsidRDefault="001D65E2" w:rsidP="005473EE">
      <w:pPr>
        <w:rPr>
          <w:rFonts w:cstheme="minorHAnsi"/>
          <w:u w:val="single"/>
        </w:rPr>
      </w:pPr>
    </w:p>
    <w:p w14:paraId="489220A4" w14:textId="500FCC50" w:rsidR="001D65E2" w:rsidRDefault="001D65E2" w:rsidP="005473E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Strategic Plan Sign Off Including Budget</w:t>
      </w:r>
    </w:p>
    <w:p w14:paraId="091DFEE5" w14:textId="5EC844E5" w:rsidR="001D65E2" w:rsidRDefault="001D65E2" w:rsidP="005473EE">
      <w:pPr>
        <w:rPr>
          <w:rFonts w:cstheme="minorHAnsi"/>
          <w:u w:val="single"/>
        </w:rPr>
      </w:pPr>
    </w:p>
    <w:p w14:paraId="4407FDC0" w14:textId="3AB3656D" w:rsidR="001D65E2" w:rsidRDefault="003E3AE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reviewed the strategic plan for 2024/25 and updated the aims where appropriate.  This will be released to pharmacies and other external stakeholders after the 1</w:t>
      </w:r>
      <w:r w:rsidRPr="003E3AE4">
        <w:rPr>
          <w:rFonts w:cstheme="minorHAnsi"/>
          <w:sz w:val="22"/>
          <w:szCs w:val="22"/>
          <w:vertAlign w:val="superscript"/>
        </w:rPr>
        <w:t>st</w:t>
      </w:r>
      <w:r>
        <w:rPr>
          <w:rFonts w:cstheme="minorHAnsi"/>
          <w:sz w:val="22"/>
          <w:szCs w:val="22"/>
        </w:rPr>
        <w:t xml:space="preserve"> of April.</w:t>
      </w:r>
    </w:p>
    <w:p w14:paraId="475BB4B6" w14:textId="77777777" w:rsidR="003E3AE4" w:rsidRDefault="003E3AE4" w:rsidP="005473EE">
      <w:pPr>
        <w:rPr>
          <w:rFonts w:cstheme="minorHAnsi"/>
          <w:sz w:val="22"/>
          <w:szCs w:val="22"/>
        </w:rPr>
      </w:pPr>
    </w:p>
    <w:p w14:paraId="7476DD58" w14:textId="1D6D0F9F" w:rsidR="003E3AE4" w:rsidRPr="001D65E2" w:rsidRDefault="003E3AE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reviewed the 11+1 forecast and were happy that the overall projected overspend for the year was estimated to be approx. £1,000.  This is approx. £12,000 better position than budgeted for.  The 2024/25 budget was reviewed with each line looked at in detail to understand income and expenditure.  The budget was agreed to overspend by approx. £15,000 to facilitate the utilisation of pharmacy contractor reserves to support contractors during this time of need.  The budget spend lines will be reviewed monthly in each meeting.</w:t>
      </w:r>
    </w:p>
    <w:p w14:paraId="34A57037" w14:textId="49CEB264" w:rsidR="001D65E2" w:rsidRPr="001D65E2" w:rsidRDefault="001D65E2" w:rsidP="005473EE">
      <w:pPr>
        <w:rPr>
          <w:rFonts w:cstheme="minorHAnsi"/>
          <w:u w:val="single"/>
        </w:rPr>
      </w:pPr>
    </w:p>
    <w:p w14:paraId="199E79F3" w14:textId="019E928F" w:rsidR="001D65E2" w:rsidRDefault="001D65E2" w:rsidP="005473E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Chief Officers Update</w:t>
      </w:r>
    </w:p>
    <w:p w14:paraId="3B692954" w14:textId="4C6349E4" w:rsidR="001D65E2" w:rsidRDefault="001D65E2" w:rsidP="005473EE">
      <w:pPr>
        <w:rPr>
          <w:rFonts w:cstheme="minorHAnsi"/>
          <w:u w:val="single"/>
        </w:rPr>
      </w:pPr>
    </w:p>
    <w:p w14:paraId="367CE0C7" w14:textId="578F0375" w:rsidR="003E3AE4" w:rsidRDefault="003E3AE4" w:rsidP="005473EE">
      <w:pPr>
        <w:rPr>
          <w:rFonts w:cstheme="minorHAnsi"/>
        </w:rPr>
      </w:pPr>
      <w:r w:rsidRPr="003E3AE4">
        <w:rPr>
          <w:rFonts w:cstheme="minorHAnsi"/>
        </w:rPr>
        <w:t>RB gave</w:t>
      </w:r>
      <w:r>
        <w:rPr>
          <w:rFonts w:cstheme="minorHAnsi"/>
        </w:rPr>
        <w:t xml:space="preserve"> an update on the LA contract prices for 2024/25 for supervised consumption.  It was recognised the positive steps that have been taken in BANES, N</w:t>
      </w:r>
      <w:r w:rsidR="00CD5D8E">
        <w:rPr>
          <w:rFonts w:cstheme="minorHAnsi"/>
        </w:rPr>
        <w:t>orth</w:t>
      </w:r>
      <w:r>
        <w:rPr>
          <w:rFonts w:cstheme="minorHAnsi"/>
        </w:rPr>
        <w:t xml:space="preserve"> Som</w:t>
      </w:r>
      <w:r w:rsidR="00CD5D8E">
        <w:rPr>
          <w:rFonts w:cstheme="minorHAnsi"/>
        </w:rPr>
        <w:t>erset</w:t>
      </w:r>
      <w:r>
        <w:rPr>
          <w:rFonts w:cstheme="minorHAnsi"/>
        </w:rPr>
        <w:t xml:space="preserve"> and S</w:t>
      </w:r>
      <w:r w:rsidR="00CD5D8E">
        <w:rPr>
          <w:rFonts w:cstheme="minorHAnsi"/>
        </w:rPr>
        <w:t>outh</w:t>
      </w:r>
      <w:r>
        <w:rPr>
          <w:rFonts w:cstheme="minorHAnsi"/>
        </w:rPr>
        <w:t xml:space="preserve"> Glo</w:t>
      </w:r>
      <w:r w:rsidR="00CD5D8E">
        <w:rPr>
          <w:rFonts w:cstheme="minorHAnsi"/>
        </w:rPr>
        <w:t>ucestershire</w:t>
      </w:r>
      <w:r w:rsidR="000A2C23">
        <w:rPr>
          <w:rFonts w:cstheme="minorHAnsi"/>
        </w:rPr>
        <w:t xml:space="preserve"> and CP Avon are supportive of the revised payment structure.</w:t>
      </w:r>
      <w:r>
        <w:rPr>
          <w:rFonts w:cstheme="minorHAnsi"/>
        </w:rPr>
        <w:t xml:space="preserve"> </w:t>
      </w:r>
      <w:r w:rsidR="000A2C23">
        <w:rPr>
          <w:rFonts w:cstheme="minorHAnsi"/>
        </w:rPr>
        <w:t xml:space="preserve"> I</w:t>
      </w:r>
      <w:r>
        <w:rPr>
          <w:rFonts w:cstheme="minorHAnsi"/>
        </w:rPr>
        <w:t>n relation to</w:t>
      </w:r>
      <w:r w:rsidR="000A2C23">
        <w:rPr>
          <w:rFonts w:cstheme="minorHAnsi"/>
        </w:rPr>
        <w:t xml:space="preserve"> smaller increase proposed by Bristol City Council;</w:t>
      </w:r>
      <w:r>
        <w:rPr>
          <w:rFonts w:cstheme="minorHAnsi"/>
        </w:rPr>
        <w:t xml:space="preserve"> whilst the committee recognised the challenging position that Bristol find</w:t>
      </w:r>
      <w:r w:rsidR="000A2C23">
        <w:rPr>
          <w:rFonts w:cstheme="minorHAnsi"/>
        </w:rPr>
        <w:t>s</w:t>
      </w:r>
      <w:r>
        <w:rPr>
          <w:rFonts w:cstheme="minorHAnsi"/>
        </w:rPr>
        <w:t xml:space="preserve"> itself in, </w:t>
      </w:r>
      <w:r w:rsidR="000A2C23">
        <w:rPr>
          <w:rFonts w:cstheme="minorHAnsi"/>
        </w:rPr>
        <w:t>CP Avon</w:t>
      </w:r>
      <w:r>
        <w:rPr>
          <w:rFonts w:cstheme="minorHAnsi"/>
        </w:rPr>
        <w:t xml:space="preserve"> </w:t>
      </w:r>
      <w:r w:rsidR="000A2C23">
        <w:rPr>
          <w:rFonts w:cstheme="minorHAnsi"/>
        </w:rPr>
        <w:t>does not</w:t>
      </w:r>
      <w:r>
        <w:rPr>
          <w:rFonts w:cstheme="minorHAnsi"/>
        </w:rPr>
        <w:t xml:space="preserve"> support the </w:t>
      </w:r>
      <w:r w:rsidR="000A2C23">
        <w:rPr>
          <w:rFonts w:cstheme="minorHAnsi"/>
        </w:rPr>
        <w:t>revised offer</w:t>
      </w:r>
      <w:r>
        <w:rPr>
          <w:rFonts w:cstheme="minorHAnsi"/>
        </w:rPr>
        <w:t>.</w:t>
      </w:r>
    </w:p>
    <w:p w14:paraId="206868E9" w14:textId="77777777" w:rsidR="003E3AE4" w:rsidRDefault="003E3AE4" w:rsidP="005473EE">
      <w:pPr>
        <w:rPr>
          <w:rFonts w:cstheme="minorHAnsi"/>
        </w:rPr>
      </w:pPr>
    </w:p>
    <w:p w14:paraId="2ED7FF4D" w14:textId="23944FAF" w:rsidR="003E3AE4" w:rsidRDefault="003E3AE4" w:rsidP="005473EE">
      <w:pPr>
        <w:rPr>
          <w:rFonts w:cstheme="minorHAnsi"/>
        </w:rPr>
      </w:pPr>
      <w:r>
        <w:rPr>
          <w:rFonts w:cstheme="minorHAnsi"/>
        </w:rPr>
        <w:t>RB updated on IP Pathfinder and the challenge to get the project up and running between Easter and Summer given the challenges being faced with the National IT procurement.</w:t>
      </w:r>
    </w:p>
    <w:p w14:paraId="20BDE686" w14:textId="77777777" w:rsidR="003E3AE4" w:rsidRDefault="003E3AE4" w:rsidP="005473EE">
      <w:pPr>
        <w:rPr>
          <w:rFonts w:cstheme="minorHAnsi"/>
        </w:rPr>
      </w:pPr>
    </w:p>
    <w:p w14:paraId="79BD88C8" w14:textId="4D230CE4" w:rsidR="00D021D4" w:rsidRDefault="003E3AE4" w:rsidP="005473EE">
      <w:pPr>
        <w:rPr>
          <w:rFonts w:cstheme="minorHAnsi"/>
        </w:rPr>
      </w:pPr>
      <w:r>
        <w:rPr>
          <w:rFonts w:cstheme="minorHAnsi"/>
        </w:rPr>
        <w:t>RB updated that it is expected that the otitis externa PGD will be rolled out across BNSSG and BSW</w:t>
      </w:r>
    </w:p>
    <w:p w14:paraId="7D9D497A" w14:textId="77777777" w:rsidR="00D021D4" w:rsidRPr="001D65E2" w:rsidRDefault="00D021D4" w:rsidP="005473EE">
      <w:pPr>
        <w:rPr>
          <w:rFonts w:cstheme="minorHAnsi"/>
          <w:u w:val="single"/>
        </w:rPr>
      </w:pPr>
    </w:p>
    <w:p w14:paraId="03485F27" w14:textId="7142A2A6" w:rsidR="001D65E2" w:rsidRDefault="001D65E2" w:rsidP="005473EE">
      <w:pPr>
        <w:rPr>
          <w:rFonts w:cstheme="minorHAnsi"/>
          <w:u w:val="single"/>
        </w:rPr>
      </w:pPr>
      <w:r w:rsidRPr="001D65E2">
        <w:rPr>
          <w:rFonts w:cstheme="minorHAnsi"/>
          <w:u w:val="single"/>
        </w:rPr>
        <w:t>AOB</w:t>
      </w:r>
    </w:p>
    <w:p w14:paraId="4961BA70" w14:textId="635763B9" w:rsidR="003E3AE4" w:rsidRDefault="003E3AE4" w:rsidP="005473EE">
      <w:pPr>
        <w:rPr>
          <w:rFonts w:cstheme="minorHAnsi"/>
          <w:u w:val="single"/>
        </w:rPr>
      </w:pPr>
    </w:p>
    <w:p w14:paraId="63CCAC6E" w14:textId="79D2B800" w:rsidR="003E3AE4" w:rsidRPr="003E3AE4" w:rsidRDefault="003E3AE4" w:rsidP="005473EE">
      <w:pPr>
        <w:rPr>
          <w:rFonts w:cstheme="minorHAnsi"/>
        </w:rPr>
      </w:pPr>
      <w:r>
        <w:rPr>
          <w:rFonts w:cstheme="minorHAnsi"/>
        </w:rPr>
        <w:t>Nothing further.</w:t>
      </w:r>
    </w:p>
    <w:p w14:paraId="0F3F03D0" w14:textId="77777777" w:rsidR="001D65E2" w:rsidRPr="001D65E2" w:rsidRDefault="001D65E2" w:rsidP="005473EE">
      <w:pPr>
        <w:rPr>
          <w:rFonts w:cstheme="minorHAnsi"/>
          <w:sz w:val="22"/>
          <w:szCs w:val="22"/>
        </w:rPr>
      </w:pPr>
    </w:p>
    <w:sectPr w:rsidR="001D65E2" w:rsidRPr="001D65E2" w:rsidSect="00FE5F8B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7D67" w14:textId="77777777" w:rsidR="00FE5F8B" w:rsidRDefault="00FE5F8B" w:rsidP="000009E6">
      <w:r>
        <w:separator/>
      </w:r>
    </w:p>
  </w:endnote>
  <w:endnote w:type="continuationSeparator" w:id="0">
    <w:p w14:paraId="34BB300F" w14:textId="77777777" w:rsidR="00FE5F8B" w:rsidRDefault="00FE5F8B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B15" w14:textId="50E72836" w:rsidR="002477A0" w:rsidRDefault="002477A0" w:rsidP="004758C6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3701BA0B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17161A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D1DB3E7" w14:textId="3B376138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78B7131" w14:textId="6879181F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B82618E" w14:textId="77777777" w:rsidR="000009E6" w:rsidRPr="000C1796" w:rsidRDefault="00FE5F8B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DB68" w14:textId="77777777" w:rsidR="00FE5F8B" w:rsidRDefault="00FE5F8B" w:rsidP="000009E6">
      <w:r>
        <w:separator/>
      </w:r>
    </w:p>
  </w:footnote>
  <w:footnote w:type="continuationSeparator" w:id="0">
    <w:p w14:paraId="599D0970" w14:textId="77777777" w:rsidR="00FE5F8B" w:rsidRDefault="00FE5F8B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5605">
    <w:abstractNumId w:val="2"/>
  </w:num>
  <w:num w:numId="2" w16cid:durableId="593052407">
    <w:abstractNumId w:val="0"/>
  </w:num>
  <w:num w:numId="3" w16cid:durableId="80374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3256B"/>
    <w:rsid w:val="00065756"/>
    <w:rsid w:val="000A2C23"/>
    <w:rsid w:val="000C1796"/>
    <w:rsid w:val="000C7FB1"/>
    <w:rsid w:val="000F3628"/>
    <w:rsid w:val="00106EC3"/>
    <w:rsid w:val="00126538"/>
    <w:rsid w:val="0017161A"/>
    <w:rsid w:val="001C077C"/>
    <w:rsid w:val="001D65E2"/>
    <w:rsid w:val="00230434"/>
    <w:rsid w:val="002477A0"/>
    <w:rsid w:val="00253627"/>
    <w:rsid w:val="00263722"/>
    <w:rsid w:val="002C4BAB"/>
    <w:rsid w:val="002D2FBD"/>
    <w:rsid w:val="002D6D46"/>
    <w:rsid w:val="002E2173"/>
    <w:rsid w:val="00316415"/>
    <w:rsid w:val="003236DD"/>
    <w:rsid w:val="003B65CB"/>
    <w:rsid w:val="003E3AE4"/>
    <w:rsid w:val="00414E07"/>
    <w:rsid w:val="00422A3C"/>
    <w:rsid w:val="004758C6"/>
    <w:rsid w:val="004F794C"/>
    <w:rsid w:val="005473EE"/>
    <w:rsid w:val="00587A9D"/>
    <w:rsid w:val="005B18B1"/>
    <w:rsid w:val="005D5DB2"/>
    <w:rsid w:val="005E2D40"/>
    <w:rsid w:val="005F0D87"/>
    <w:rsid w:val="00673013"/>
    <w:rsid w:val="0068463D"/>
    <w:rsid w:val="00687877"/>
    <w:rsid w:val="00691249"/>
    <w:rsid w:val="006C3973"/>
    <w:rsid w:val="006D5110"/>
    <w:rsid w:val="00720694"/>
    <w:rsid w:val="00736A64"/>
    <w:rsid w:val="007A045A"/>
    <w:rsid w:val="007C54ED"/>
    <w:rsid w:val="00881A68"/>
    <w:rsid w:val="00914AF9"/>
    <w:rsid w:val="00975BC3"/>
    <w:rsid w:val="009A7F9B"/>
    <w:rsid w:val="009B02E3"/>
    <w:rsid w:val="009E7209"/>
    <w:rsid w:val="00A6040C"/>
    <w:rsid w:val="00AB598B"/>
    <w:rsid w:val="00B161D7"/>
    <w:rsid w:val="00B2425E"/>
    <w:rsid w:val="00B275ED"/>
    <w:rsid w:val="00B40ACC"/>
    <w:rsid w:val="00B6581E"/>
    <w:rsid w:val="00B73A13"/>
    <w:rsid w:val="00B95BC3"/>
    <w:rsid w:val="00B96DDD"/>
    <w:rsid w:val="00BB3C05"/>
    <w:rsid w:val="00C3751C"/>
    <w:rsid w:val="00CA1E73"/>
    <w:rsid w:val="00CD5D8E"/>
    <w:rsid w:val="00D021D4"/>
    <w:rsid w:val="00D54D73"/>
    <w:rsid w:val="00DC33CA"/>
    <w:rsid w:val="00DD3F34"/>
    <w:rsid w:val="00DE6253"/>
    <w:rsid w:val="00E03D2E"/>
    <w:rsid w:val="00E10375"/>
    <w:rsid w:val="00E2576C"/>
    <w:rsid w:val="00EB75EA"/>
    <w:rsid w:val="00EC2456"/>
    <w:rsid w:val="00F170E9"/>
    <w:rsid w:val="00F27443"/>
    <w:rsid w:val="00F35D1B"/>
    <w:rsid w:val="00F407D9"/>
    <w:rsid w:val="00F430EF"/>
    <w:rsid w:val="00FB03C3"/>
    <w:rsid w:val="00FD2434"/>
    <w:rsid w:val="00FE5F8B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15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2024-03-26T10:24:00Z</dcterms:created>
  <dcterms:modified xsi:type="dcterms:W3CDTF">2024-03-26T10:24:00Z</dcterms:modified>
</cp:coreProperties>
</file>