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C1" w:rsidRPr="003C474E" w:rsidRDefault="004A0BC1" w:rsidP="004A0BC1">
      <w:pPr>
        <w:numPr>
          <w:ilvl w:val="1"/>
          <w:numId w:val="0"/>
        </w:numPr>
        <w:tabs>
          <w:tab w:val="left" w:pos="432"/>
          <w:tab w:val="left" w:pos="1152"/>
          <w:tab w:val="num" w:pos="1368"/>
        </w:tabs>
        <w:ind w:left="709" w:hanging="709"/>
        <w:rPr>
          <w:rFonts w:ascii="Arial" w:hAnsi="Arial" w:cs="Arial"/>
          <w:b/>
          <w:color w:val="1F497D"/>
          <w:szCs w:val="24"/>
        </w:rPr>
      </w:pPr>
      <w:bookmarkStart w:id="0" w:name="_GoBack"/>
      <w:bookmarkEnd w:id="0"/>
      <w:r>
        <w:rPr>
          <w:rFonts w:ascii="Arial" w:hAnsi="Arial" w:cs="Arial"/>
          <w:b/>
          <w:color w:val="1F497D"/>
          <w:szCs w:val="24"/>
        </w:rPr>
        <w:t>Annex B</w:t>
      </w:r>
      <w:r w:rsidRPr="003C474E">
        <w:rPr>
          <w:rFonts w:ascii="Arial" w:hAnsi="Arial" w:cs="Arial"/>
          <w:b/>
          <w:color w:val="1F497D"/>
          <w:szCs w:val="24"/>
        </w:rPr>
        <w:t xml:space="preserve">: Safeguarding policies </w:t>
      </w:r>
      <w:r w:rsidRPr="003C474E">
        <w:rPr>
          <w:rFonts w:ascii="Arial" w:hAnsi="Arial" w:cs="Arial"/>
          <w:b/>
          <w:bCs/>
          <w:color w:val="1F497D"/>
          <w:szCs w:val="24"/>
        </w:rPr>
        <w:t>(including Child Sexual Exploitation)</w:t>
      </w:r>
    </w:p>
    <w:p w:rsidR="004A0BC1" w:rsidRPr="00431A6C" w:rsidRDefault="004A0BC1" w:rsidP="004A0BC1">
      <w:pPr>
        <w:rPr>
          <w:rFonts w:ascii="Arial" w:hAnsi="Arial" w:cs="Arial"/>
          <w:b/>
          <w:szCs w:val="24"/>
        </w:rPr>
      </w:pPr>
    </w:p>
    <w:p w:rsidR="004A0BC1" w:rsidRDefault="004A0BC1" w:rsidP="004A0BC1">
      <w:pPr>
        <w:pStyle w:val="Default"/>
        <w:rPr>
          <w:rFonts w:ascii="Arial" w:hAnsi="Arial" w:cs="Arial"/>
        </w:rPr>
      </w:pPr>
      <w:r w:rsidRPr="00431A6C">
        <w:rPr>
          <w:rFonts w:ascii="Arial" w:hAnsi="Arial" w:cs="Arial"/>
          <w:color w:val="auto"/>
        </w:rPr>
        <w:t xml:space="preserve">The Service Provider’s Safeguarding policies and procedures will meet the Quality requirements agreed for the NHS Standard Contract for providers in the Bristol, North Somerset </w:t>
      </w:r>
      <w:bookmarkStart w:id="1" w:name="a195931"/>
      <w:r w:rsidRPr="00431A6C">
        <w:rPr>
          <w:rFonts w:ascii="Arial" w:hAnsi="Arial" w:cs="Arial"/>
          <w:color w:val="auto"/>
        </w:rPr>
        <w:t>and South Gloucestershire area o</w:t>
      </w:r>
      <w:r w:rsidRPr="00431A6C">
        <w:rPr>
          <w:rFonts w:ascii="Arial" w:hAnsi="Arial" w:cs="Arial"/>
        </w:rPr>
        <w:t>f the Safeguarding Vulnerable Groups Act 2006.</w:t>
      </w:r>
      <w:bookmarkEnd w:id="1"/>
    </w:p>
    <w:p w:rsidR="004A0BC1" w:rsidRPr="00431A6C" w:rsidRDefault="004A0BC1" w:rsidP="004A0BC1">
      <w:pPr>
        <w:pStyle w:val="Default"/>
        <w:rPr>
          <w:rFonts w:ascii="Arial" w:hAnsi="Arial" w:cs="Arial"/>
        </w:rPr>
      </w:pPr>
    </w:p>
    <w:p w:rsidR="004A0BC1" w:rsidRPr="00431A6C" w:rsidRDefault="004A0BC1" w:rsidP="004A0BC1">
      <w:pPr>
        <w:pStyle w:val="Untitledsubclause1"/>
        <w:spacing w:before="0" w:after="0" w:line="240" w:lineRule="auto"/>
        <w:jc w:val="left"/>
        <w:outlineLvl w:val="9"/>
        <w:rPr>
          <w:sz w:val="24"/>
          <w:szCs w:val="24"/>
        </w:rPr>
      </w:pPr>
      <w:bookmarkStart w:id="2" w:name="a862549"/>
      <w:r w:rsidRPr="00431A6C">
        <w:rPr>
          <w:sz w:val="24"/>
          <w:szCs w:val="24"/>
        </w:rPr>
        <w:t>The provider shall:</w:t>
      </w:r>
      <w:bookmarkEnd w:id="2"/>
    </w:p>
    <w:p w:rsidR="004A0BC1" w:rsidRPr="00431A6C" w:rsidRDefault="004A0BC1" w:rsidP="004A0BC1">
      <w:pPr>
        <w:pStyle w:val="Untitledsubclause2"/>
        <w:spacing w:after="0" w:line="240" w:lineRule="auto"/>
        <w:jc w:val="left"/>
        <w:outlineLvl w:val="9"/>
        <w:rPr>
          <w:sz w:val="24"/>
          <w:szCs w:val="24"/>
        </w:rPr>
      </w:pPr>
      <w:bookmarkStart w:id="3" w:name="a749203"/>
      <w:r w:rsidRPr="00431A6C">
        <w:rPr>
          <w:sz w:val="24"/>
          <w:szCs w:val="24"/>
        </w:rPr>
        <w:t xml:space="preserve">ensure that all individuals engaged in Regulated Activity are subject to a valid enhanced disclosure check for regulated activity undertaken through the Disclosure and Barring Service (DBS); and </w:t>
      </w:r>
      <w:bookmarkEnd w:id="3"/>
    </w:p>
    <w:p w:rsidR="004A0BC1" w:rsidRPr="00431A6C" w:rsidRDefault="004A0BC1" w:rsidP="004A0BC1">
      <w:pPr>
        <w:pStyle w:val="Untitledsubclause2"/>
        <w:spacing w:after="0" w:line="240" w:lineRule="auto"/>
        <w:jc w:val="left"/>
        <w:outlineLvl w:val="9"/>
        <w:rPr>
          <w:sz w:val="24"/>
          <w:szCs w:val="24"/>
        </w:rPr>
      </w:pPr>
      <w:bookmarkStart w:id="4" w:name="a536016"/>
      <w:r w:rsidRPr="00431A6C">
        <w:rPr>
          <w:sz w:val="24"/>
          <w:szCs w:val="24"/>
        </w:rPr>
        <w:t xml:space="preserve">monitor the level and validity of the checks under this clause </w:t>
      </w:r>
      <w:bookmarkEnd w:id="4"/>
      <w:r w:rsidRPr="00431A6C">
        <w:rPr>
          <w:sz w:val="24"/>
          <w:szCs w:val="24"/>
        </w:rPr>
        <w:t>1</w:t>
      </w:r>
      <w:r w:rsidRPr="005320E6">
        <w:rPr>
          <w:sz w:val="24"/>
          <w:szCs w:val="24"/>
          <w:highlight w:val="lightGray"/>
        </w:rPr>
        <w:t>.2</w:t>
      </w:r>
      <w:r w:rsidRPr="00431A6C">
        <w:rPr>
          <w:sz w:val="24"/>
          <w:szCs w:val="24"/>
        </w:rPr>
        <w:t xml:space="preserve"> for each member of staff;</w:t>
      </w:r>
    </w:p>
    <w:p w:rsidR="004A0BC1" w:rsidRPr="00431A6C" w:rsidRDefault="004A0BC1" w:rsidP="004A0BC1">
      <w:pPr>
        <w:pStyle w:val="Untitledsubclause2"/>
        <w:spacing w:after="0" w:line="240" w:lineRule="auto"/>
        <w:jc w:val="left"/>
        <w:outlineLvl w:val="9"/>
        <w:rPr>
          <w:sz w:val="24"/>
          <w:szCs w:val="24"/>
        </w:rPr>
      </w:pPr>
      <w:bookmarkStart w:id="5" w:name="a250575"/>
      <w:r w:rsidRPr="00431A6C">
        <w:rPr>
          <w:sz w:val="24"/>
          <w:szCs w:val="24"/>
        </w:rPr>
        <w:t>not employ or use the services of any person who is barred from, or whose previous conduct or records indicate that he or she would not be suitable to carry out Regulated Activity or who may otherwise present a risk to service users.</w:t>
      </w:r>
      <w:bookmarkEnd w:id="5"/>
    </w:p>
    <w:p w:rsidR="004A0BC1" w:rsidRDefault="004A0BC1" w:rsidP="004A0BC1">
      <w:pPr>
        <w:pStyle w:val="Untitledsubclause1"/>
        <w:numPr>
          <w:ilvl w:val="0"/>
          <w:numId w:val="0"/>
        </w:numPr>
        <w:spacing w:before="0" w:after="0" w:line="240" w:lineRule="auto"/>
        <w:ind w:left="720"/>
        <w:jc w:val="left"/>
        <w:outlineLvl w:val="9"/>
        <w:rPr>
          <w:sz w:val="24"/>
          <w:szCs w:val="24"/>
        </w:rPr>
      </w:pPr>
      <w:bookmarkStart w:id="6" w:name="a886361"/>
    </w:p>
    <w:p w:rsidR="004A0BC1" w:rsidRPr="00431A6C" w:rsidRDefault="004A0BC1" w:rsidP="004A0BC1">
      <w:pPr>
        <w:pStyle w:val="Untitledsubclause1"/>
        <w:spacing w:before="0" w:after="0" w:line="240" w:lineRule="auto"/>
        <w:jc w:val="left"/>
        <w:outlineLvl w:val="9"/>
        <w:rPr>
          <w:sz w:val="24"/>
          <w:szCs w:val="24"/>
        </w:rPr>
      </w:pPr>
      <w:r w:rsidRPr="00431A6C">
        <w:rPr>
          <w:sz w:val="24"/>
          <w:szCs w:val="24"/>
        </w:rPr>
        <w:t xml:space="preserve">The </w:t>
      </w:r>
      <w:r>
        <w:rPr>
          <w:sz w:val="24"/>
          <w:szCs w:val="24"/>
        </w:rPr>
        <w:t>provider h</w:t>
      </w:r>
      <w:r w:rsidRPr="00431A6C">
        <w:rPr>
          <w:sz w:val="24"/>
          <w:szCs w:val="24"/>
        </w:rPr>
        <w:t>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bookmarkEnd w:id="6"/>
    </w:p>
    <w:p w:rsidR="004A0BC1" w:rsidRDefault="004A0BC1" w:rsidP="004A0BC1">
      <w:pPr>
        <w:pStyle w:val="Untitledsubclause1"/>
        <w:numPr>
          <w:ilvl w:val="0"/>
          <w:numId w:val="0"/>
        </w:numPr>
        <w:spacing w:before="0" w:after="0" w:line="240" w:lineRule="auto"/>
        <w:ind w:left="720"/>
        <w:jc w:val="left"/>
        <w:outlineLvl w:val="9"/>
        <w:rPr>
          <w:sz w:val="24"/>
          <w:szCs w:val="24"/>
        </w:rPr>
      </w:pPr>
      <w:bookmarkStart w:id="7" w:name="a459020"/>
    </w:p>
    <w:p w:rsidR="004A0BC1" w:rsidRDefault="004A0BC1" w:rsidP="004A0BC1">
      <w:pPr>
        <w:pStyle w:val="Untitledsubclause1"/>
        <w:spacing w:before="0" w:after="0" w:line="240" w:lineRule="auto"/>
        <w:jc w:val="left"/>
        <w:outlineLvl w:val="9"/>
        <w:rPr>
          <w:sz w:val="24"/>
          <w:szCs w:val="24"/>
        </w:rPr>
      </w:pPr>
      <w:r w:rsidRPr="00431A6C">
        <w:rPr>
          <w:sz w:val="24"/>
          <w:szCs w:val="24"/>
        </w:rPr>
        <w:t xml:space="preserve">The </w:t>
      </w:r>
      <w:r>
        <w:rPr>
          <w:sz w:val="24"/>
          <w:szCs w:val="24"/>
        </w:rPr>
        <w:t xml:space="preserve">provider </w:t>
      </w:r>
      <w:r w:rsidRPr="00431A6C">
        <w:rPr>
          <w:sz w:val="24"/>
          <w:szCs w:val="24"/>
        </w:rPr>
        <w:t xml:space="preserve">shall immediately notify the Authority of any information that it reasonably requests to enable it to be satisfied that the obligations </w:t>
      </w:r>
      <w:bookmarkEnd w:id="7"/>
      <w:r w:rsidRPr="00431A6C">
        <w:rPr>
          <w:sz w:val="24"/>
          <w:szCs w:val="24"/>
        </w:rPr>
        <w:t>have been met.</w:t>
      </w:r>
    </w:p>
    <w:p w:rsidR="004A0BC1" w:rsidRPr="00431A6C" w:rsidRDefault="004A0BC1" w:rsidP="004A0BC1">
      <w:pPr>
        <w:pStyle w:val="Untitledsubclause1"/>
        <w:numPr>
          <w:ilvl w:val="0"/>
          <w:numId w:val="0"/>
        </w:numPr>
        <w:spacing w:before="0" w:after="0" w:line="240" w:lineRule="auto"/>
        <w:ind w:left="720"/>
        <w:jc w:val="left"/>
        <w:outlineLvl w:val="9"/>
        <w:rPr>
          <w:sz w:val="24"/>
          <w:szCs w:val="24"/>
        </w:rPr>
      </w:pPr>
    </w:p>
    <w:p w:rsidR="004A0BC1" w:rsidRDefault="004A0BC1" w:rsidP="004A0BC1">
      <w:pPr>
        <w:pStyle w:val="Untitledsubclause1"/>
        <w:spacing w:before="0" w:after="0" w:line="240" w:lineRule="auto"/>
        <w:jc w:val="left"/>
        <w:outlineLvl w:val="9"/>
        <w:rPr>
          <w:sz w:val="24"/>
          <w:szCs w:val="24"/>
        </w:rPr>
      </w:pPr>
      <w:r w:rsidRPr="00431A6C">
        <w:rPr>
          <w:sz w:val="24"/>
          <w:szCs w:val="24"/>
        </w:rPr>
        <w:t xml:space="preserve">The </w:t>
      </w:r>
      <w:r>
        <w:rPr>
          <w:sz w:val="24"/>
          <w:szCs w:val="24"/>
        </w:rPr>
        <w:t>provider</w:t>
      </w:r>
      <w:r w:rsidRPr="00431A6C">
        <w:rPr>
          <w:sz w:val="24"/>
          <w:szCs w:val="24"/>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OR children OR vulnerable adults. </w:t>
      </w:r>
    </w:p>
    <w:p w:rsidR="004A0BC1" w:rsidRPr="00431A6C" w:rsidRDefault="004A0BC1" w:rsidP="004A0BC1">
      <w:pPr>
        <w:pStyle w:val="Untitledsubclause1"/>
        <w:numPr>
          <w:ilvl w:val="0"/>
          <w:numId w:val="0"/>
        </w:numPr>
        <w:spacing w:before="0" w:after="0" w:line="240" w:lineRule="auto"/>
        <w:ind w:left="720"/>
        <w:jc w:val="left"/>
        <w:outlineLvl w:val="9"/>
        <w:rPr>
          <w:sz w:val="24"/>
          <w:szCs w:val="24"/>
        </w:rPr>
      </w:pPr>
    </w:p>
    <w:p w:rsidR="004A0BC1" w:rsidRPr="00816B9D" w:rsidRDefault="004A0BC1" w:rsidP="004A0BC1">
      <w:pPr>
        <w:pStyle w:val="Untitledsubclause1"/>
        <w:spacing w:before="0" w:after="0" w:line="240" w:lineRule="auto"/>
        <w:jc w:val="left"/>
        <w:outlineLvl w:val="9"/>
        <w:rPr>
          <w:sz w:val="24"/>
          <w:szCs w:val="24"/>
        </w:rPr>
      </w:pPr>
      <w:r w:rsidRPr="00431A6C">
        <w:rPr>
          <w:sz w:val="24"/>
          <w:szCs w:val="24"/>
        </w:rPr>
        <w:t xml:space="preserve">The </w:t>
      </w:r>
      <w:r>
        <w:rPr>
          <w:sz w:val="24"/>
          <w:szCs w:val="24"/>
        </w:rPr>
        <w:t xml:space="preserve">provider </w:t>
      </w:r>
      <w:r w:rsidRPr="00431A6C">
        <w:rPr>
          <w:sz w:val="24"/>
          <w:szCs w:val="24"/>
        </w:rPr>
        <w:t xml:space="preserve">shall ensure that the welfare and rights of children and young people who access the service, either as a dependent or in their own right, remains paramount that all children and young people are effectively safeguarded with due consideration but not exclusively to the: Children’s Act 1989 2014, Human Rights Act 1998,United Nations Convention on the Rights </w:t>
      </w:r>
      <w:r w:rsidRPr="00816B9D">
        <w:rPr>
          <w:sz w:val="24"/>
          <w:szCs w:val="24"/>
        </w:rPr>
        <w:t>of the Child (UNCRC), Homelessness Act 2002, Care Act 2014.</w:t>
      </w:r>
    </w:p>
    <w:p w:rsidR="004A0BC1" w:rsidRPr="00816B9D" w:rsidRDefault="004A0BC1" w:rsidP="004A0BC1">
      <w:pPr>
        <w:pStyle w:val="Untitledsubclause1"/>
        <w:numPr>
          <w:ilvl w:val="0"/>
          <w:numId w:val="0"/>
        </w:numPr>
        <w:spacing w:before="0" w:after="0" w:line="240" w:lineRule="auto"/>
        <w:ind w:left="720"/>
        <w:jc w:val="left"/>
        <w:outlineLvl w:val="9"/>
        <w:rPr>
          <w:sz w:val="24"/>
          <w:szCs w:val="24"/>
        </w:rPr>
      </w:pPr>
    </w:p>
    <w:p w:rsidR="004A0BC1" w:rsidRPr="00816B9D" w:rsidRDefault="004A0BC1" w:rsidP="004A0BC1">
      <w:pPr>
        <w:pStyle w:val="Untitledsubclause1"/>
        <w:spacing w:before="0" w:after="0" w:line="240" w:lineRule="auto"/>
        <w:jc w:val="left"/>
        <w:outlineLvl w:val="9"/>
        <w:rPr>
          <w:sz w:val="24"/>
          <w:szCs w:val="24"/>
        </w:rPr>
      </w:pPr>
      <w:r w:rsidRPr="00816B9D">
        <w:rPr>
          <w:sz w:val="24"/>
          <w:szCs w:val="24"/>
        </w:rPr>
        <w:t>The provider shall Ensure all staff and volunteers conform to Bristol City Council’s Safeguarding Policy and Procedures. These can be found at:</w:t>
      </w:r>
    </w:p>
    <w:p w:rsidR="004A0BC1" w:rsidRPr="00816B9D" w:rsidRDefault="00803494" w:rsidP="004A0BC1">
      <w:pPr>
        <w:pStyle w:val="Untitledsubclause1"/>
        <w:numPr>
          <w:ilvl w:val="0"/>
          <w:numId w:val="0"/>
        </w:numPr>
        <w:spacing w:before="0" w:after="0" w:line="240" w:lineRule="auto"/>
        <w:ind w:left="720"/>
        <w:jc w:val="left"/>
        <w:outlineLvl w:val="9"/>
        <w:rPr>
          <w:sz w:val="24"/>
          <w:szCs w:val="24"/>
        </w:rPr>
      </w:pPr>
      <w:hyperlink r:id="rId7" w:history="1">
        <w:r w:rsidR="004A0BC1" w:rsidRPr="00816B9D">
          <w:rPr>
            <w:rStyle w:val="Hyperlink"/>
            <w:sz w:val="24"/>
            <w:szCs w:val="24"/>
          </w:rPr>
          <w:t>https://bristolsafeguarding.org/</w:t>
        </w:r>
      </w:hyperlink>
      <w:r w:rsidR="004A0BC1" w:rsidRPr="00816B9D">
        <w:rPr>
          <w:sz w:val="24"/>
          <w:szCs w:val="24"/>
        </w:rPr>
        <w:t xml:space="preserve"> </w:t>
      </w:r>
    </w:p>
    <w:p w:rsidR="004A0BC1" w:rsidRDefault="004A0BC1" w:rsidP="004A0BC1">
      <w:pPr>
        <w:pStyle w:val="Untitledsubclause1"/>
        <w:numPr>
          <w:ilvl w:val="0"/>
          <w:numId w:val="0"/>
        </w:numPr>
        <w:spacing w:before="0" w:after="0" w:line="240" w:lineRule="auto"/>
        <w:ind w:left="720"/>
        <w:jc w:val="left"/>
        <w:outlineLvl w:val="9"/>
        <w:rPr>
          <w:sz w:val="24"/>
          <w:szCs w:val="24"/>
        </w:rPr>
      </w:pPr>
    </w:p>
    <w:p w:rsidR="004A0BC1" w:rsidRDefault="004A0BC1" w:rsidP="004A0BC1">
      <w:pPr>
        <w:pStyle w:val="Untitledsubclause1"/>
        <w:spacing w:before="0" w:after="0" w:line="240" w:lineRule="auto"/>
        <w:jc w:val="left"/>
        <w:outlineLvl w:val="9"/>
        <w:rPr>
          <w:sz w:val="24"/>
          <w:szCs w:val="24"/>
        </w:rPr>
      </w:pPr>
      <w:r w:rsidRPr="00431A6C">
        <w:rPr>
          <w:sz w:val="24"/>
          <w:szCs w:val="24"/>
        </w:rPr>
        <w:t xml:space="preserve">The </w:t>
      </w:r>
      <w:r>
        <w:rPr>
          <w:sz w:val="24"/>
          <w:szCs w:val="24"/>
        </w:rPr>
        <w:t xml:space="preserve">provider </w:t>
      </w:r>
      <w:r w:rsidRPr="00431A6C">
        <w:rPr>
          <w:sz w:val="24"/>
          <w:szCs w:val="24"/>
        </w:rPr>
        <w:t>shall ensure that all staff have passed and hold a valid Disclosure and Barring Service (DBS) certificate.</w:t>
      </w:r>
    </w:p>
    <w:p w:rsidR="004A0BC1" w:rsidRPr="00431A6C" w:rsidRDefault="004A0BC1" w:rsidP="004A0BC1">
      <w:pPr>
        <w:pStyle w:val="Untitledsubclause1"/>
        <w:numPr>
          <w:ilvl w:val="0"/>
          <w:numId w:val="0"/>
        </w:numPr>
        <w:spacing w:before="0" w:after="0" w:line="240" w:lineRule="auto"/>
        <w:ind w:left="720"/>
        <w:jc w:val="left"/>
        <w:outlineLvl w:val="9"/>
        <w:rPr>
          <w:sz w:val="24"/>
          <w:szCs w:val="24"/>
        </w:rPr>
      </w:pPr>
    </w:p>
    <w:p w:rsidR="004A0BC1" w:rsidRDefault="004A0BC1" w:rsidP="004A0BC1">
      <w:pPr>
        <w:pStyle w:val="ListParagraph"/>
        <w:rPr>
          <w:szCs w:val="24"/>
        </w:rPr>
      </w:pPr>
    </w:p>
    <w:p w:rsidR="004A0BC1" w:rsidRDefault="004A0BC1" w:rsidP="004A0BC1">
      <w:pPr>
        <w:pStyle w:val="Untitledsubclause1"/>
        <w:tabs>
          <w:tab w:val="num" w:pos="1368"/>
        </w:tabs>
        <w:spacing w:before="0" w:after="0" w:line="240" w:lineRule="auto"/>
        <w:jc w:val="left"/>
        <w:outlineLvl w:val="9"/>
        <w:rPr>
          <w:sz w:val="24"/>
          <w:szCs w:val="24"/>
        </w:rPr>
      </w:pPr>
      <w:r w:rsidRPr="00431A6C">
        <w:rPr>
          <w:sz w:val="24"/>
          <w:szCs w:val="24"/>
        </w:rPr>
        <w:lastRenderedPageBreak/>
        <w:t xml:space="preserve">The </w:t>
      </w:r>
      <w:r>
        <w:rPr>
          <w:sz w:val="24"/>
          <w:szCs w:val="24"/>
        </w:rPr>
        <w:t xml:space="preserve">provider </w:t>
      </w:r>
      <w:r w:rsidRPr="00431A6C">
        <w:rPr>
          <w:sz w:val="24"/>
          <w:szCs w:val="24"/>
        </w:rPr>
        <w:t>will have a designated Safeguarding lead with expertise of both child and adult Safeguarding.</w:t>
      </w:r>
    </w:p>
    <w:p w:rsidR="004A0BC1" w:rsidRDefault="004A0BC1" w:rsidP="004A0BC1">
      <w:pPr>
        <w:pStyle w:val="Untitledsubclause1"/>
        <w:numPr>
          <w:ilvl w:val="0"/>
          <w:numId w:val="0"/>
        </w:numPr>
        <w:tabs>
          <w:tab w:val="num" w:pos="1368"/>
        </w:tabs>
        <w:spacing w:before="0" w:after="0" w:line="240" w:lineRule="auto"/>
        <w:ind w:left="720"/>
        <w:jc w:val="left"/>
        <w:outlineLvl w:val="9"/>
        <w:rPr>
          <w:sz w:val="24"/>
          <w:szCs w:val="24"/>
        </w:rPr>
      </w:pPr>
    </w:p>
    <w:p w:rsidR="004A0BC1" w:rsidRPr="005320E6" w:rsidRDefault="004A0BC1" w:rsidP="004A0BC1">
      <w:pPr>
        <w:pStyle w:val="Untitledsubclause1"/>
        <w:tabs>
          <w:tab w:val="num" w:pos="1368"/>
        </w:tabs>
        <w:spacing w:before="0" w:after="0" w:line="240" w:lineRule="auto"/>
        <w:jc w:val="left"/>
        <w:outlineLvl w:val="9"/>
        <w:rPr>
          <w:sz w:val="24"/>
          <w:szCs w:val="24"/>
        </w:rPr>
      </w:pPr>
      <w:r w:rsidRPr="005320E6">
        <w:rPr>
          <w:sz w:val="24"/>
          <w:szCs w:val="24"/>
        </w:rPr>
        <w:t>The provider shall comply with any future amendments/ additions to such legislation</w:t>
      </w:r>
    </w:p>
    <w:p w:rsidR="008F3898" w:rsidRDefault="004A0BC1">
      <w:r>
        <w:t xml:space="preserve"> </w:t>
      </w:r>
    </w:p>
    <w:sectPr w:rsidR="008F3898" w:rsidSect="00AC099C">
      <w:headerReference w:type="first" r:id="rId8"/>
      <w:footerReference w:type="first" r:id="rId9"/>
      <w:pgSz w:w="11907" w:h="16839"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94" w:rsidRDefault="00803494">
      <w:r>
        <w:separator/>
      </w:r>
    </w:p>
  </w:endnote>
  <w:endnote w:type="continuationSeparator" w:id="0">
    <w:p w:rsidR="00803494" w:rsidRDefault="0080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Condensed">
    <w:altName w:val="Arial Narrow"/>
    <w:panose1 w:val="00000000000000000000"/>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69" w:rsidRDefault="004A0BC1">
    <w:pPr>
      <w:pStyle w:val="Footer"/>
      <w:rPr>
        <w:rFonts w:ascii="Arial" w:hAnsi="Arial" w:cs="Arial"/>
        <w:sz w:val="18"/>
        <w:szCs w:val="18"/>
        <w:lang w:val="en-US"/>
      </w:rPr>
    </w:pPr>
    <w:r>
      <w:rPr>
        <w:rFonts w:ascii="Arial" w:hAnsi="Arial" w:cs="Arial"/>
        <w:sz w:val="18"/>
        <w:szCs w:val="18"/>
        <w:lang w:val="en-US"/>
      </w:rPr>
      <w:t>Memorandum of Agreement – Public Health</w:t>
    </w:r>
    <w:r>
      <w:rPr>
        <w:rFonts w:ascii="Arial" w:hAnsi="Arial" w:cs="Arial"/>
        <w:sz w:val="18"/>
        <w:szCs w:val="18"/>
        <w:lang w:val="en-US"/>
      </w:rPr>
      <w:tab/>
    </w:r>
    <w:r>
      <w:rPr>
        <w:rFonts w:ascii="Arial" w:hAnsi="Arial" w:cs="Arial"/>
        <w:sz w:val="18"/>
        <w:szCs w:val="18"/>
        <w:lang w:val="en-US"/>
      </w:rPr>
      <w:tab/>
      <w:t xml:space="preserv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w:t>
    </w:r>
    <w:r>
      <w:rPr>
        <w:rFonts w:ascii="Arial" w:hAnsi="Arial" w:cs="Arial"/>
        <w:sz w:val="18"/>
        <w:szCs w:val="18"/>
        <w:lang w:val="en-US"/>
      </w:rPr>
      <w:br/>
      <w:t xml:space="preserve">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94" w:rsidRDefault="00803494">
      <w:r>
        <w:separator/>
      </w:r>
    </w:p>
  </w:footnote>
  <w:footnote w:type="continuationSeparator" w:id="0">
    <w:p w:rsidR="00803494" w:rsidRDefault="0080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69" w:rsidRDefault="004A0BC1">
    <w:pPr>
      <w:pBdr>
        <w:bottom w:val="single" w:sz="18" w:space="1" w:color="auto"/>
      </w:pBdr>
      <w:spacing w:after="120"/>
      <w:jc w:val="center"/>
      <w:rPr>
        <w:rFonts w:ascii="Helvetica Condensed" w:hAnsi="Helvetica Condensed"/>
        <w:b/>
        <w:bCs/>
      </w:rPr>
    </w:pPr>
    <w:r>
      <w:rPr>
        <w:rFonts w:ascii="Helvetica Condensed" w:hAnsi="Helvetica Condensed"/>
        <w:b/>
        <w:bCs/>
      </w:rPr>
      <w:t>Bristol City Council – Public Health</w:t>
    </w:r>
  </w:p>
  <w:p w:rsidR="005C2B69" w:rsidRDefault="004A0BC1">
    <w:pPr>
      <w:pBdr>
        <w:bottom w:val="single" w:sz="18" w:space="1" w:color="auto"/>
      </w:pBdr>
      <w:spacing w:after="120"/>
      <w:jc w:val="center"/>
      <w:rPr>
        <w:rFonts w:ascii="Helvetica Condensed" w:hAnsi="Helvetica Condensed"/>
        <w:b/>
        <w:bCs/>
      </w:rPr>
    </w:pPr>
    <w:r>
      <w:rPr>
        <w:rFonts w:ascii="Helvetica Condensed" w:hAnsi="Helvetica Condensed"/>
        <w:b/>
        <w:bCs/>
      </w:rPr>
      <w:t>Public Health Services</w:t>
    </w:r>
  </w:p>
  <w:p w:rsidR="005C2B69" w:rsidRDefault="00803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1"/>
    <w:rsid w:val="004A0BC1"/>
    <w:rsid w:val="00803494"/>
    <w:rsid w:val="008B3E0A"/>
    <w:rsid w:val="008F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2348-7D5F-4942-8C6F-A19C515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BC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BC1"/>
    <w:pPr>
      <w:tabs>
        <w:tab w:val="center" w:pos="4153"/>
        <w:tab w:val="right" w:pos="8306"/>
      </w:tabs>
      <w:overflowPunct w:val="0"/>
      <w:autoSpaceDE w:val="0"/>
      <w:autoSpaceDN w:val="0"/>
      <w:adjustRightInd w:val="0"/>
      <w:textAlignment w:val="baseline"/>
    </w:pPr>
    <w:rPr>
      <w:sz w:val="20"/>
      <w:lang w:eastAsia="en-US"/>
    </w:rPr>
  </w:style>
  <w:style w:type="character" w:customStyle="1" w:styleId="HeaderChar">
    <w:name w:val="Header Char"/>
    <w:basedOn w:val="DefaultParagraphFont"/>
    <w:link w:val="Header"/>
    <w:uiPriority w:val="99"/>
    <w:rsid w:val="004A0BC1"/>
    <w:rPr>
      <w:rFonts w:ascii="Times New Roman" w:eastAsia="Times New Roman" w:hAnsi="Times New Roman" w:cs="Times New Roman"/>
      <w:sz w:val="20"/>
      <w:szCs w:val="20"/>
    </w:rPr>
  </w:style>
  <w:style w:type="paragraph" w:styleId="Footer">
    <w:name w:val="footer"/>
    <w:basedOn w:val="Normal"/>
    <w:link w:val="FooterChar"/>
    <w:uiPriority w:val="99"/>
    <w:rsid w:val="004A0BC1"/>
    <w:pPr>
      <w:tabs>
        <w:tab w:val="center" w:pos="4320"/>
        <w:tab w:val="right" w:pos="8640"/>
      </w:tabs>
    </w:pPr>
    <w:rPr>
      <w:lang w:eastAsia="en-US"/>
    </w:rPr>
  </w:style>
  <w:style w:type="character" w:customStyle="1" w:styleId="FooterChar">
    <w:name w:val="Footer Char"/>
    <w:basedOn w:val="DefaultParagraphFont"/>
    <w:link w:val="Footer"/>
    <w:uiPriority w:val="99"/>
    <w:rsid w:val="004A0BC1"/>
    <w:rPr>
      <w:rFonts w:ascii="Times New Roman" w:eastAsia="Times New Roman" w:hAnsi="Times New Roman" w:cs="Times New Roman"/>
      <w:sz w:val="24"/>
      <w:szCs w:val="20"/>
    </w:rPr>
  </w:style>
  <w:style w:type="paragraph" w:customStyle="1" w:styleId="Default">
    <w:name w:val="Default"/>
    <w:rsid w:val="004A0BC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4A0BC1"/>
    <w:rPr>
      <w:color w:val="0000FF"/>
      <w:u w:val="single"/>
    </w:rPr>
  </w:style>
  <w:style w:type="paragraph" w:styleId="ListParagraph">
    <w:name w:val="List Paragraph"/>
    <w:basedOn w:val="Normal"/>
    <w:uiPriority w:val="34"/>
    <w:qFormat/>
    <w:rsid w:val="004A0BC1"/>
    <w:pPr>
      <w:spacing w:after="200" w:line="276" w:lineRule="auto"/>
      <w:ind w:left="720"/>
      <w:contextualSpacing/>
    </w:pPr>
    <w:rPr>
      <w:rFonts w:ascii="Calibri" w:eastAsia="Calibri" w:hAnsi="Calibri"/>
      <w:sz w:val="22"/>
      <w:szCs w:val="22"/>
      <w:lang w:eastAsia="en-US"/>
    </w:rPr>
  </w:style>
  <w:style w:type="paragraph" w:customStyle="1" w:styleId="TitleClause">
    <w:name w:val="Title Clause"/>
    <w:basedOn w:val="Normal"/>
    <w:rsid w:val="004A0BC1"/>
    <w:pPr>
      <w:keepNext/>
      <w:numPr>
        <w:numId w:val="1"/>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4A0BC1"/>
    <w:pPr>
      <w:numPr>
        <w:ilvl w:val="1"/>
        <w:numId w:val="1"/>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4A0BC1"/>
    <w:pPr>
      <w:numPr>
        <w:ilvl w:val="2"/>
        <w:numId w:val="1"/>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4A0BC1"/>
    <w:pPr>
      <w:numPr>
        <w:ilvl w:val="3"/>
        <w:numId w:val="1"/>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4A0BC1"/>
    <w:pPr>
      <w:numPr>
        <w:ilvl w:val="4"/>
        <w:numId w:val="1"/>
      </w:numPr>
      <w:spacing w:after="120" w:line="300" w:lineRule="atLeast"/>
      <w:jc w:val="both"/>
      <w:outlineLvl w:val="4"/>
    </w:pPr>
    <w:rPr>
      <w:rFonts w:ascii="Arial" w:eastAsia="Arial Unicode MS"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istolsafeguar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Metcalfe</dc:creator>
  <cp:lastModifiedBy>Avon LPC</cp:lastModifiedBy>
  <cp:revision>2</cp:revision>
  <dcterms:created xsi:type="dcterms:W3CDTF">2020-03-09T11:59:00Z</dcterms:created>
  <dcterms:modified xsi:type="dcterms:W3CDTF">2020-03-09T11:59:00Z</dcterms:modified>
</cp:coreProperties>
</file>