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A07CC1" w:rsidRDefault="003F710A">
      <w:bookmarkStart w:id="0" w:name="_GoBack"/>
      <w:bookmarkEnd w:id="0"/>
      <w:r w:rsidRPr="00A07CC1">
        <w:rPr>
          <w:rFonts w:ascii="Arial" w:hAnsi="Arial" w:cs="Arial"/>
          <w:noProof/>
          <w:lang w:eastAsia="en-GB"/>
        </w:rPr>
        <w:drawing>
          <wp:inline distT="0" distB="0" distL="0" distR="0" wp14:anchorId="73C207D5" wp14:editId="75B36C04">
            <wp:extent cx="1266825" cy="931744"/>
            <wp:effectExtent l="0" t="0" r="0" b="1905"/>
            <wp:docPr id="2" name="Picture 2" descr="logos idfa black and white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dfa black and white hi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446" cy="932201"/>
                    </a:xfrm>
                    <a:prstGeom prst="rect">
                      <a:avLst/>
                    </a:prstGeom>
                    <a:noFill/>
                    <a:ln>
                      <a:noFill/>
                    </a:ln>
                  </pic:spPr>
                </pic:pic>
              </a:graphicData>
            </a:graphic>
          </wp:inline>
        </w:drawing>
      </w:r>
    </w:p>
    <w:p w:rsidR="003B5E97" w:rsidRPr="00A07CC1" w:rsidRDefault="003F710A" w:rsidP="003F710A">
      <w:pPr>
        <w:rPr>
          <w:rFonts w:ascii="Arial" w:hAnsi="Arial" w:cs="Arial"/>
          <w:b/>
        </w:rPr>
      </w:pPr>
      <w:r w:rsidRPr="00A07CC1">
        <w:rPr>
          <w:rFonts w:ascii="Arial" w:hAnsi="Arial" w:cs="Arial"/>
          <w:b/>
        </w:rPr>
        <w:t xml:space="preserve">Service Level Agreement for Needle and Syringe Provision </w:t>
      </w:r>
      <w:r w:rsidRPr="00A07CC1">
        <w:rPr>
          <w:rFonts w:ascii="Arial" w:hAnsi="Arial" w:cs="Arial"/>
          <w:b/>
        </w:rPr>
        <w:tab/>
      </w:r>
      <w:r w:rsidRPr="00A07CC1">
        <w:rPr>
          <w:rFonts w:ascii="Arial" w:hAnsi="Arial" w:cs="Arial"/>
          <w:b/>
        </w:rPr>
        <w:tab/>
      </w:r>
      <w:r w:rsidRPr="00A07CC1">
        <w:rPr>
          <w:rFonts w:ascii="Arial" w:hAnsi="Arial" w:cs="Arial"/>
          <w:b/>
        </w:rPr>
        <w:tab/>
        <w:t xml:space="preserve">         Duration:</w:t>
      </w:r>
    </w:p>
    <w:p w:rsidR="003F710A" w:rsidRPr="00A07CC1" w:rsidRDefault="003F710A" w:rsidP="003F710A">
      <w:pPr>
        <w:rPr>
          <w:rFonts w:ascii="Arial" w:hAnsi="Arial" w:cs="Arial"/>
          <w:b/>
        </w:rPr>
      </w:pPr>
      <w:r w:rsidRPr="00A07CC1">
        <w:rPr>
          <w:rFonts w:ascii="Arial" w:hAnsi="Arial" w:cs="Arial"/>
          <w:b/>
        </w:rPr>
        <w:t>Pharmacy Name_____________________________________________</w:t>
      </w:r>
    </w:p>
    <w:tbl>
      <w:tblPr>
        <w:tblStyle w:val="TableGrid"/>
        <w:tblW w:w="0" w:type="auto"/>
        <w:tblLook w:val="04A0" w:firstRow="1" w:lastRow="0" w:firstColumn="1" w:lastColumn="0" w:noHBand="0" w:noVBand="1"/>
      </w:tblPr>
      <w:tblGrid>
        <w:gridCol w:w="9242"/>
      </w:tblGrid>
      <w:tr w:rsidR="003F710A" w:rsidRPr="00A07CC1" w:rsidTr="003F710A">
        <w:trPr>
          <w:trHeight w:val="1648"/>
        </w:trPr>
        <w:tc>
          <w:tcPr>
            <w:tcW w:w="9242" w:type="dxa"/>
          </w:tcPr>
          <w:p w:rsidR="003F710A" w:rsidRPr="00A07CC1" w:rsidRDefault="003F710A" w:rsidP="003F710A">
            <w:pPr>
              <w:jc w:val="center"/>
              <w:rPr>
                <w:rFonts w:ascii="Arial" w:hAnsi="Arial" w:cs="Arial"/>
                <w:b/>
              </w:rPr>
            </w:pPr>
            <w:r w:rsidRPr="00A07CC1">
              <w:rPr>
                <w:rFonts w:ascii="Arial" w:hAnsi="Arial" w:cs="Arial"/>
                <w:b/>
              </w:rPr>
              <w:t>Requirement</w:t>
            </w:r>
          </w:p>
          <w:p w:rsidR="003F710A" w:rsidRPr="00A07CC1" w:rsidRDefault="00270BC8" w:rsidP="003F710A">
            <w:pPr>
              <w:rPr>
                <w:rFonts w:ascii="Arial" w:hAnsi="Arial" w:cs="Arial"/>
                <w:b/>
              </w:rPr>
            </w:pPr>
            <w:r w:rsidRPr="00A07CC1">
              <w:rPr>
                <w:rFonts w:ascii="Arial" w:hAnsi="Arial" w:cs="Arial"/>
                <w:b/>
              </w:rPr>
              <w:t xml:space="preserve">1.      </w:t>
            </w:r>
            <w:r w:rsidR="003F710A" w:rsidRPr="00A07CC1">
              <w:rPr>
                <w:rFonts w:ascii="Arial" w:hAnsi="Arial" w:cs="Arial"/>
                <w:b/>
              </w:rPr>
              <w:t>Service Description</w:t>
            </w:r>
          </w:p>
          <w:p w:rsidR="003F710A" w:rsidRPr="00A07CC1" w:rsidRDefault="003F710A" w:rsidP="003F710A">
            <w:pPr>
              <w:rPr>
                <w:rFonts w:ascii="Arial" w:hAnsi="Arial" w:cs="Arial"/>
                <w:b/>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Pharmacies will provide access to sterile injecting paraphernalia, and sharps containers for return of used equipment. Where agreed locally, associated materials, to promote safe injecting practice and reduce transmission of infections by substance misusers will be provided.</w:t>
            </w:r>
          </w:p>
          <w:p w:rsidR="003F710A" w:rsidRPr="00A07CC1" w:rsidRDefault="003F710A" w:rsidP="003F710A">
            <w:pPr>
              <w:pStyle w:val="ListParagraph"/>
              <w:ind w:left="495"/>
              <w:rPr>
                <w:rFonts w:ascii="Arial" w:hAnsi="Arial" w:cs="Arial"/>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 xml:space="preserve">Pharmacies </w:t>
            </w:r>
            <w:r w:rsidRPr="00A07CC1">
              <w:rPr>
                <w:rFonts w:ascii="Arial" w:hAnsi="Arial" w:cs="Arial"/>
                <w:b/>
              </w:rPr>
              <w:t xml:space="preserve">will </w:t>
            </w:r>
            <w:r w:rsidRPr="00A07CC1">
              <w:rPr>
                <w:rFonts w:ascii="Arial" w:hAnsi="Arial" w:cs="Arial"/>
              </w:rPr>
              <w:t>normally dispense enough equipment to cover an individuals injecting need but this can be varied on direction by Bristol Needle Exchange and Harm Reduction Service (BDP).</w:t>
            </w:r>
          </w:p>
          <w:p w:rsidR="003F710A" w:rsidRPr="00A07CC1" w:rsidRDefault="003F710A" w:rsidP="003F710A">
            <w:pPr>
              <w:pStyle w:val="ListParagraph"/>
              <w:rPr>
                <w:rFonts w:ascii="Arial" w:hAnsi="Arial" w:cs="Arial"/>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Pharmacies will offer a user-friendly, non judgemental, client centred and confidential service.</w:t>
            </w:r>
          </w:p>
          <w:p w:rsidR="003F710A" w:rsidRPr="00A07CC1" w:rsidRDefault="003F710A" w:rsidP="003F710A">
            <w:pPr>
              <w:pStyle w:val="ListParagraph"/>
              <w:rPr>
                <w:rFonts w:ascii="Arial" w:hAnsi="Arial" w:cs="Arial"/>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 xml:space="preserve">Pharmacies </w:t>
            </w:r>
            <w:r w:rsidRPr="00A07CC1">
              <w:rPr>
                <w:rFonts w:ascii="Arial" w:hAnsi="Arial" w:cs="Arial"/>
                <w:b/>
              </w:rPr>
              <w:t>will</w:t>
            </w:r>
            <w:r w:rsidRPr="00A07CC1">
              <w:rPr>
                <w:rFonts w:ascii="Arial" w:hAnsi="Arial" w:cs="Arial"/>
              </w:rPr>
              <w:t xml:space="preserve"> be proactive in encouraging clients to return used injecting equipment.</w:t>
            </w:r>
          </w:p>
          <w:p w:rsidR="003F710A" w:rsidRPr="00A07CC1" w:rsidRDefault="003F710A" w:rsidP="003F710A">
            <w:pPr>
              <w:pStyle w:val="ListParagraph"/>
              <w:rPr>
                <w:rFonts w:ascii="Arial" w:hAnsi="Arial" w:cs="Arial"/>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However the provision of sterile injecting equipment is not dependent on clients returning used equipment on any single occasion.</w:t>
            </w:r>
          </w:p>
          <w:p w:rsidR="003F710A" w:rsidRPr="00A07CC1" w:rsidRDefault="003F710A" w:rsidP="003F710A">
            <w:pPr>
              <w:pStyle w:val="ListParagraph"/>
              <w:rPr>
                <w:rFonts w:ascii="Arial" w:hAnsi="Arial" w:cs="Arial"/>
              </w:rPr>
            </w:pPr>
          </w:p>
          <w:p w:rsidR="003F710A" w:rsidRPr="00A07CC1" w:rsidRDefault="003F710A" w:rsidP="003F710A">
            <w:pPr>
              <w:pStyle w:val="ListParagraph"/>
              <w:numPr>
                <w:ilvl w:val="1"/>
                <w:numId w:val="1"/>
              </w:numPr>
              <w:rPr>
                <w:rFonts w:ascii="Arial" w:hAnsi="Arial" w:cs="Arial"/>
              </w:rPr>
            </w:pPr>
            <w:r w:rsidRPr="00A07CC1">
              <w:rPr>
                <w:rFonts w:ascii="Arial" w:hAnsi="Arial" w:cs="Arial"/>
              </w:rPr>
              <w:t>The service user will be provided with appropriate health promotion materials.</w:t>
            </w:r>
          </w:p>
          <w:p w:rsidR="003F710A" w:rsidRPr="00A07CC1" w:rsidRDefault="003F710A" w:rsidP="003F710A">
            <w:pPr>
              <w:pStyle w:val="ListParagraph"/>
              <w:rPr>
                <w:rFonts w:ascii="Arial" w:hAnsi="Arial" w:cs="Arial"/>
              </w:rPr>
            </w:pPr>
          </w:p>
          <w:p w:rsidR="003F710A" w:rsidRPr="00A07CC1" w:rsidRDefault="00D04B72" w:rsidP="003F710A">
            <w:pPr>
              <w:pStyle w:val="ListParagraph"/>
              <w:numPr>
                <w:ilvl w:val="1"/>
                <w:numId w:val="1"/>
              </w:numPr>
              <w:rPr>
                <w:rFonts w:ascii="Arial" w:hAnsi="Arial" w:cs="Arial"/>
              </w:rPr>
            </w:pPr>
            <w:r w:rsidRPr="00A07CC1">
              <w:rPr>
                <w:rFonts w:ascii="Arial" w:hAnsi="Arial" w:cs="Arial"/>
              </w:rPr>
              <w:t>The pharmacy will provide support and advice to the user, including referral to other health and social care professionals and specialist drug and alcohol treatment services where appropriate.</w:t>
            </w:r>
          </w:p>
          <w:p w:rsidR="00D04B72" w:rsidRPr="00A07CC1" w:rsidRDefault="00D04B72" w:rsidP="0041385F">
            <w:pPr>
              <w:pStyle w:val="ListParagraph"/>
              <w:ind w:left="567" w:firstLine="153"/>
              <w:rPr>
                <w:rFonts w:ascii="Arial" w:hAnsi="Arial" w:cs="Arial"/>
              </w:rPr>
            </w:pPr>
          </w:p>
          <w:p w:rsidR="00D04B72" w:rsidRPr="00A07CC1" w:rsidRDefault="00D04B72" w:rsidP="003F710A">
            <w:pPr>
              <w:pStyle w:val="ListParagraph"/>
              <w:numPr>
                <w:ilvl w:val="1"/>
                <w:numId w:val="1"/>
              </w:numPr>
              <w:rPr>
                <w:rFonts w:ascii="Arial" w:hAnsi="Arial" w:cs="Arial"/>
              </w:rPr>
            </w:pPr>
            <w:r w:rsidRPr="00A07CC1">
              <w:rPr>
                <w:rFonts w:ascii="Arial" w:hAnsi="Arial" w:cs="Arial"/>
              </w:rPr>
              <w:t>The pharmacy will promote advice about safer practice to the service user, including advice on Hepatitis C transmission, Hepatitis B immunisation, HIV, sexual health and STIs.</w:t>
            </w:r>
          </w:p>
          <w:p w:rsidR="00D04B72" w:rsidRPr="00A07CC1" w:rsidRDefault="00D04B72" w:rsidP="00D04B72">
            <w:pPr>
              <w:pStyle w:val="ListParagraph"/>
              <w:rPr>
                <w:rFonts w:ascii="Arial" w:hAnsi="Arial" w:cs="Arial"/>
              </w:rPr>
            </w:pPr>
          </w:p>
          <w:p w:rsidR="00D04B72" w:rsidRPr="00A07CC1" w:rsidRDefault="00D04B72" w:rsidP="003F710A">
            <w:pPr>
              <w:pStyle w:val="ListParagraph"/>
              <w:numPr>
                <w:ilvl w:val="1"/>
                <w:numId w:val="1"/>
              </w:numPr>
              <w:rPr>
                <w:rFonts w:ascii="Arial" w:hAnsi="Arial" w:cs="Arial"/>
              </w:rPr>
            </w:pPr>
            <w:r w:rsidRPr="00A07CC1">
              <w:rPr>
                <w:rFonts w:ascii="Arial" w:hAnsi="Arial" w:cs="Arial"/>
              </w:rPr>
              <w:t>All pharmacies providing the service will work to Standard Operation Procedures (SOP), which will be signed off by all relevant staff.</w:t>
            </w:r>
          </w:p>
          <w:p w:rsidR="00D04B72" w:rsidRPr="00A07CC1" w:rsidRDefault="00D04B72" w:rsidP="00D04B72">
            <w:pPr>
              <w:pStyle w:val="ListParagraph"/>
              <w:rPr>
                <w:rFonts w:ascii="Arial" w:hAnsi="Arial" w:cs="Arial"/>
              </w:rPr>
            </w:pPr>
          </w:p>
          <w:p w:rsidR="00D04B72" w:rsidRPr="00A07CC1" w:rsidRDefault="00D04B72" w:rsidP="003F710A">
            <w:pPr>
              <w:pStyle w:val="ListParagraph"/>
              <w:numPr>
                <w:ilvl w:val="1"/>
                <w:numId w:val="1"/>
              </w:numPr>
              <w:rPr>
                <w:rFonts w:ascii="Arial" w:hAnsi="Arial" w:cs="Arial"/>
              </w:rPr>
            </w:pPr>
            <w:r w:rsidRPr="00A07CC1">
              <w:rPr>
                <w:rFonts w:ascii="Arial" w:hAnsi="Arial" w:cs="Arial"/>
              </w:rPr>
              <w:t>Staff involved in the delivery of this service who are considered to be at risk should be referred to their genera; practitioner for immunisation for Hepatitis B.</w:t>
            </w:r>
          </w:p>
          <w:p w:rsidR="00D04B72" w:rsidRPr="00A07CC1" w:rsidRDefault="00D04B72" w:rsidP="00D04B72">
            <w:pPr>
              <w:pStyle w:val="ListParagraph"/>
              <w:rPr>
                <w:rFonts w:ascii="Arial" w:hAnsi="Arial" w:cs="Arial"/>
              </w:rPr>
            </w:pPr>
          </w:p>
          <w:p w:rsidR="00D04B72" w:rsidRPr="00A07CC1" w:rsidRDefault="00D04B72" w:rsidP="003F710A">
            <w:pPr>
              <w:pStyle w:val="ListParagraph"/>
              <w:numPr>
                <w:ilvl w:val="1"/>
                <w:numId w:val="1"/>
              </w:numPr>
              <w:rPr>
                <w:rFonts w:ascii="Arial" w:hAnsi="Arial" w:cs="Arial"/>
              </w:rPr>
            </w:pPr>
            <w:r w:rsidRPr="00A07CC1">
              <w:rPr>
                <w:rFonts w:ascii="Arial" w:hAnsi="Arial" w:cs="Arial"/>
              </w:rPr>
              <w:t>Pharmacies will collect and report a minimum dataset to enable assessment of need and planning of services.</w:t>
            </w:r>
          </w:p>
          <w:p w:rsidR="00D04B72" w:rsidRPr="00A07CC1" w:rsidRDefault="00D04B72" w:rsidP="00D04B72">
            <w:pPr>
              <w:rPr>
                <w:rFonts w:ascii="Arial" w:hAnsi="Arial" w:cs="Arial"/>
              </w:rPr>
            </w:pPr>
          </w:p>
        </w:tc>
      </w:tr>
      <w:tr w:rsidR="00D04B72" w:rsidRPr="00A07CC1" w:rsidTr="003F710A">
        <w:trPr>
          <w:trHeight w:val="1648"/>
        </w:trPr>
        <w:tc>
          <w:tcPr>
            <w:tcW w:w="9242" w:type="dxa"/>
          </w:tcPr>
          <w:p w:rsidR="00D04B72" w:rsidRPr="00A07CC1" w:rsidRDefault="00270BC8" w:rsidP="00D04B72">
            <w:pPr>
              <w:rPr>
                <w:rFonts w:ascii="Arial" w:hAnsi="Arial" w:cs="Arial"/>
                <w:b/>
              </w:rPr>
            </w:pPr>
            <w:r w:rsidRPr="00A07CC1">
              <w:rPr>
                <w:rFonts w:ascii="Arial" w:hAnsi="Arial" w:cs="Arial"/>
                <w:b/>
              </w:rPr>
              <w:lastRenderedPageBreak/>
              <w:t xml:space="preserve">2.     </w:t>
            </w:r>
            <w:r w:rsidR="00D04B72" w:rsidRPr="00A07CC1">
              <w:rPr>
                <w:rFonts w:ascii="Arial" w:hAnsi="Arial" w:cs="Arial"/>
                <w:b/>
              </w:rPr>
              <w:t>Aims and intended service outcomes</w:t>
            </w:r>
          </w:p>
          <w:p w:rsidR="005A4F04" w:rsidRPr="00A07CC1" w:rsidRDefault="005A4F04" w:rsidP="005A4F04">
            <w:pPr>
              <w:rPr>
                <w:rFonts w:ascii="Arial" w:hAnsi="Arial" w:cs="Arial"/>
                <w:b/>
              </w:rPr>
            </w:pPr>
          </w:p>
          <w:p w:rsidR="005A4F04" w:rsidRPr="00A07CC1" w:rsidRDefault="005A4F04" w:rsidP="005A4F04">
            <w:pPr>
              <w:rPr>
                <w:rFonts w:ascii="Arial" w:hAnsi="Arial" w:cs="Arial"/>
              </w:rPr>
            </w:pPr>
            <w:r w:rsidRPr="00A07CC1">
              <w:rPr>
                <w:rFonts w:ascii="Arial" w:hAnsi="Arial" w:cs="Arial"/>
                <w:b/>
              </w:rPr>
              <w:t xml:space="preserve">2.1   </w:t>
            </w:r>
            <w:r w:rsidRPr="00A07CC1">
              <w:rPr>
                <w:rFonts w:ascii="Arial" w:hAnsi="Arial" w:cs="Arial"/>
              </w:rPr>
              <w:t>To assist the service users to remain healthy</w:t>
            </w:r>
          </w:p>
          <w:p w:rsidR="005A4F04" w:rsidRPr="00A07CC1" w:rsidRDefault="005A4F04" w:rsidP="00D04B72">
            <w:pPr>
              <w:rPr>
                <w:rFonts w:ascii="Arial" w:hAnsi="Arial" w:cs="Arial"/>
              </w:rPr>
            </w:pPr>
          </w:p>
          <w:p w:rsidR="005A4F04" w:rsidRPr="00A07CC1" w:rsidRDefault="005A4F04" w:rsidP="005A4F04">
            <w:pPr>
              <w:ind w:left="482" w:hanging="482"/>
              <w:rPr>
                <w:rFonts w:ascii="Arial" w:hAnsi="Arial" w:cs="Arial"/>
              </w:rPr>
            </w:pPr>
            <w:r w:rsidRPr="00A07CC1">
              <w:rPr>
                <w:rFonts w:ascii="Arial" w:hAnsi="Arial" w:cs="Arial"/>
                <w:b/>
              </w:rPr>
              <w:t xml:space="preserve">2.2   </w:t>
            </w:r>
            <w:r w:rsidRPr="00A07CC1">
              <w:rPr>
                <w:rFonts w:ascii="Arial" w:hAnsi="Arial" w:cs="Arial"/>
              </w:rPr>
              <w:t>To contribute to improvements in public health &amp; health protection and reduce the rate of blood-    borne infections and drug related deaths among service users:</w:t>
            </w:r>
          </w:p>
          <w:p w:rsidR="0041385F" w:rsidRPr="00A07CC1" w:rsidRDefault="0041385F" w:rsidP="005A4F04">
            <w:pPr>
              <w:ind w:left="482" w:hanging="482"/>
              <w:rPr>
                <w:rFonts w:ascii="Arial" w:hAnsi="Arial" w:cs="Arial"/>
              </w:rPr>
            </w:pPr>
          </w:p>
          <w:p w:rsidR="005A4F04" w:rsidRPr="00A07CC1" w:rsidRDefault="0041385F" w:rsidP="005A4F04">
            <w:pPr>
              <w:pStyle w:val="ListParagraph"/>
              <w:numPr>
                <w:ilvl w:val="0"/>
                <w:numId w:val="3"/>
              </w:numPr>
              <w:rPr>
                <w:rFonts w:ascii="Arial" w:hAnsi="Arial" w:cs="Arial"/>
              </w:rPr>
            </w:pPr>
            <w:r w:rsidRPr="00A07CC1">
              <w:rPr>
                <w:rFonts w:ascii="Arial" w:hAnsi="Arial" w:cs="Arial"/>
              </w:rPr>
              <w:t>By reducing the rate of sharing and other high risk injecting behaviours;</w:t>
            </w:r>
          </w:p>
          <w:p w:rsidR="0041385F" w:rsidRPr="00A07CC1" w:rsidRDefault="0041385F" w:rsidP="005A4F04">
            <w:pPr>
              <w:pStyle w:val="ListParagraph"/>
              <w:numPr>
                <w:ilvl w:val="0"/>
                <w:numId w:val="3"/>
              </w:numPr>
              <w:rPr>
                <w:rFonts w:ascii="Arial" w:hAnsi="Arial" w:cs="Arial"/>
              </w:rPr>
            </w:pPr>
            <w:r w:rsidRPr="00A07CC1">
              <w:rPr>
                <w:rFonts w:ascii="Arial" w:hAnsi="Arial" w:cs="Arial"/>
              </w:rPr>
              <w:t>By providing sterile injecting equipment and other supports;</w:t>
            </w:r>
          </w:p>
          <w:p w:rsidR="0041385F" w:rsidRPr="00A07CC1" w:rsidRDefault="0041385F" w:rsidP="005A4F04">
            <w:pPr>
              <w:pStyle w:val="ListParagraph"/>
              <w:numPr>
                <w:ilvl w:val="0"/>
                <w:numId w:val="3"/>
              </w:numPr>
              <w:rPr>
                <w:rFonts w:ascii="Arial" w:hAnsi="Arial" w:cs="Arial"/>
              </w:rPr>
            </w:pPr>
            <w:r w:rsidRPr="00A07CC1">
              <w:rPr>
                <w:rFonts w:ascii="Arial" w:hAnsi="Arial" w:cs="Arial"/>
              </w:rPr>
              <w:t>By promoting safer injecting practices; and</w:t>
            </w:r>
          </w:p>
          <w:p w:rsidR="0041385F" w:rsidRPr="00A07CC1" w:rsidRDefault="0041385F" w:rsidP="005A4F04">
            <w:pPr>
              <w:pStyle w:val="ListParagraph"/>
              <w:numPr>
                <w:ilvl w:val="0"/>
                <w:numId w:val="3"/>
              </w:numPr>
              <w:rPr>
                <w:rFonts w:ascii="Arial" w:hAnsi="Arial" w:cs="Arial"/>
              </w:rPr>
            </w:pPr>
            <w:r w:rsidRPr="00A07CC1">
              <w:rPr>
                <w:rFonts w:ascii="Arial" w:hAnsi="Arial" w:cs="Arial"/>
              </w:rPr>
              <w:t>By providing and reinforcing harm reduction messages including safer sex advice and advice on overdose prevention (</w:t>
            </w:r>
            <w:proofErr w:type="spellStart"/>
            <w:r w:rsidRPr="00A07CC1">
              <w:rPr>
                <w:rFonts w:ascii="Arial" w:hAnsi="Arial" w:cs="Arial"/>
              </w:rPr>
              <w:t>e.g</w:t>
            </w:r>
            <w:proofErr w:type="spellEnd"/>
            <w:r w:rsidRPr="00A07CC1">
              <w:rPr>
                <w:rFonts w:ascii="Arial" w:hAnsi="Arial" w:cs="Arial"/>
              </w:rPr>
              <w:t xml:space="preserve"> risks of poly-drug use and alcohol use).</w:t>
            </w:r>
          </w:p>
          <w:p w:rsidR="0041385F" w:rsidRPr="00A07CC1" w:rsidRDefault="0041385F" w:rsidP="0041385F">
            <w:pPr>
              <w:ind w:left="454" w:hanging="454"/>
              <w:rPr>
                <w:rFonts w:ascii="Arial" w:hAnsi="Arial" w:cs="Arial"/>
              </w:rPr>
            </w:pPr>
            <w:r w:rsidRPr="00A07CC1">
              <w:rPr>
                <w:rFonts w:ascii="Arial" w:hAnsi="Arial" w:cs="Arial"/>
                <w:b/>
              </w:rPr>
              <w:t xml:space="preserve">2.3   </w:t>
            </w:r>
            <w:r w:rsidRPr="00A07CC1">
              <w:rPr>
                <w:rFonts w:ascii="Arial" w:hAnsi="Arial" w:cs="Arial"/>
              </w:rPr>
              <w:t>To improve the health of local communities by preventing the spread of blood-borne infections by providing facilities for safe disposal of used injecting equipment.</w:t>
            </w:r>
          </w:p>
          <w:p w:rsidR="0041385F" w:rsidRPr="00A07CC1" w:rsidRDefault="0041385F" w:rsidP="0041385F">
            <w:pPr>
              <w:ind w:left="454" w:hanging="454"/>
              <w:rPr>
                <w:rFonts w:ascii="Arial" w:hAnsi="Arial" w:cs="Arial"/>
              </w:rPr>
            </w:pPr>
          </w:p>
          <w:p w:rsidR="0041385F" w:rsidRPr="00A07CC1" w:rsidRDefault="0041385F" w:rsidP="0041385F">
            <w:pPr>
              <w:ind w:left="454" w:hanging="454"/>
              <w:rPr>
                <w:rFonts w:ascii="Arial" w:hAnsi="Arial" w:cs="Arial"/>
              </w:rPr>
            </w:pPr>
            <w:r w:rsidRPr="00A07CC1">
              <w:rPr>
                <w:rFonts w:ascii="Arial" w:hAnsi="Arial" w:cs="Arial"/>
                <w:b/>
              </w:rPr>
              <w:t xml:space="preserve">2.4   </w:t>
            </w:r>
            <w:r w:rsidRPr="00A07CC1">
              <w:rPr>
                <w:rFonts w:ascii="Arial" w:hAnsi="Arial" w:cs="Arial"/>
              </w:rPr>
              <w:t>To help service users access treatment by offering referral to specialist drug and alcohol treatment services.</w:t>
            </w:r>
          </w:p>
          <w:p w:rsidR="00F913C0" w:rsidRPr="00A07CC1" w:rsidRDefault="00F913C0" w:rsidP="0041385F">
            <w:pPr>
              <w:ind w:left="454" w:hanging="454"/>
              <w:rPr>
                <w:rFonts w:ascii="Arial" w:hAnsi="Arial" w:cs="Arial"/>
              </w:rPr>
            </w:pPr>
          </w:p>
          <w:p w:rsidR="00D04B72" w:rsidRPr="00A07CC1" w:rsidRDefault="00F913C0" w:rsidP="00270BC8">
            <w:pPr>
              <w:ind w:left="454" w:hanging="454"/>
              <w:rPr>
                <w:rFonts w:ascii="Arial" w:hAnsi="Arial" w:cs="Arial"/>
              </w:rPr>
            </w:pPr>
            <w:r w:rsidRPr="00A07CC1">
              <w:rPr>
                <w:rFonts w:ascii="Arial" w:hAnsi="Arial" w:cs="Arial"/>
                <w:b/>
              </w:rPr>
              <w:t xml:space="preserve">2.5   </w:t>
            </w:r>
            <w:r w:rsidRPr="00A07CC1">
              <w:rPr>
                <w:rFonts w:ascii="Arial" w:hAnsi="Arial" w:cs="Arial"/>
              </w:rPr>
              <w:t>To help service users access appropriate health and social care and to act as gateway to other services (</w:t>
            </w:r>
            <w:proofErr w:type="spellStart"/>
            <w:r w:rsidRPr="00A07CC1">
              <w:rPr>
                <w:rFonts w:ascii="Arial" w:hAnsi="Arial" w:cs="Arial"/>
              </w:rPr>
              <w:t>e.g</w:t>
            </w:r>
            <w:proofErr w:type="spellEnd"/>
            <w:r w:rsidRPr="00A07CC1">
              <w:rPr>
                <w:rFonts w:ascii="Arial" w:hAnsi="Arial" w:cs="Arial"/>
              </w:rPr>
              <w:t xml:space="preserve"> hepatitis B immunisation, hepatitis and HIV screening, assessment of need, opiate substitution therapy, key working,).</w:t>
            </w:r>
          </w:p>
          <w:p w:rsidR="00D04B72" w:rsidRPr="00A07CC1" w:rsidRDefault="00D04B72" w:rsidP="00D04B72">
            <w:pPr>
              <w:rPr>
                <w:rFonts w:ascii="Arial" w:hAnsi="Arial" w:cs="Arial"/>
                <w:b/>
              </w:rPr>
            </w:pPr>
          </w:p>
        </w:tc>
      </w:tr>
      <w:tr w:rsidR="00F913C0" w:rsidRPr="00A07CC1" w:rsidTr="006D227E">
        <w:trPr>
          <w:trHeight w:val="699"/>
        </w:trPr>
        <w:tc>
          <w:tcPr>
            <w:tcW w:w="9242" w:type="dxa"/>
          </w:tcPr>
          <w:p w:rsidR="00F913C0" w:rsidRPr="00A07CC1" w:rsidRDefault="00270BC8" w:rsidP="00D04B72">
            <w:pPr>
              <w:rPr>
                <w:rFonts w:ascii="Arial" w:hAnsi="Arial" w:cs="Arial"/>
                <w:b/>
              </w:rPr>
            </w:pPr>
            <w:r w:rsidRPr="00A07CC1">
              <w:rPr>
                <w:rFonts w:ascii="Arial" w:hAnsi="Arial" w:cs="Arial"/>
                <w:b/>
              </w:rPr>
              <w:t>3.     Service outline The Pharmacy will</w:t>
            </w:r>
          </w:p>
          <w:p w:rsidR="00270BC8" w:rsidRPr="00A07CC1" w:rsidRDefault="00270BC8" w:rsidP="00D04B72">
            <w:pPr>
              <w:rPr>
                <w:rFonts w:ascii="Arial" w:hAnsi="Arial" w:cs="Arial"/>
                <w:b/>
              </w:rPr>
            </w:pPr>
          </w:p>
          <w:p w:rsidR="00270BC8" w:rsidRPr="00A07CC1" w:rsidRDefault="00270BC8" w:rsidP="00270BC8">
            <w:pPr>
              <w:ind w:left="454" w:hanging="454"/>
              <w:rPr>
                <w:rFonts w:ascii="Arial" w:hAnsi="Arial" w:cs="Arial"/>
              </w:rPr>
            </w:pPr>
            <w:r w:rsidRPr="00A07CC1">
              <w:rPr>
                <w:rFonts w:ascii="Arial" w:hAnsi="Arial" w:cs="Arial"/>
                <w:b/>
              </w:rPr>
              <w:t xml:space="preserve">3.1   </w:t>
            </w:r>
            <w:r w:rsidRPr="00A07CC1">
              <w:rPr>
                <w:rFonts w:ascii="Arial" w:hAnsi="Arial" w:cs="Arial"/>
              </w:rPr>
              <w:t>Provide NSP in a part of the pharmacy which provides a sufficient level of privacy and safety and meets other locally agreed criteria.</w:t>
            </w:r>
          </w:p>
          <w:p w:rsidR="00270BC8" w:rsidRPr="00A07CC1" w:rsidRDefault="00270BC8" w:rsidP="00270BC8">
            <w:pPr>
              <w:ind w:left="454" w:hanging="454"/>
              <w:rPr>
                <w:rFonts w:ascii="Arial" w:hAnsi="Arial" w:cs="Arial"/>
              </w:rPr>
            </w:pPr>
          </w:p>
          <w:p w:rsidR="00270BC8" w:rsidRPr="00A07CC1" w:rsidRDefault="00270BC8" w:rsidP="00270BC8">
            <w:pPr>
              <w:ind w:left="454" w:hanging="454"/>
              <w:rPr>
                <w:rFonts w:ascii="Arial" w:hAnsi="Arial" w:cs="Arial"/>
              </w:rPr>
            </w:pPr>
            <w:r w:rsidRPr="00A07CC1">
              <w:rPr>
                <w:rFonts w:ascii="Arial" w:hAnsi="Arial" w:cs="Arial"/>
                <w:b/>
              </w:rPr>
              <w:t xml:space="preserve">3.2   </w:t>
            </w:r>
            <w:r w:rsidRPr="00A07CC1">
              <w:rPr>
                <w:rFonts w:ascii="Arial" w:hAnsi="Arial" w:cs="Arial"/>
              </w:rPr>
              <w:t>Ensure that pharmacists and staff involved in the provision of the service have relevant knowledge and are appropriately trained in the operation of the service including compliance with SOP.</w:t>
            </w:r>
          </w:p>
          <w:p w:rsidR="00270BC8" w:rsidRPr="00A07CC1" w:rsidRDefault="00270BC8" w:rsidP="00270BC8">
            <w:pPr>
              <w:ind w:left="454" w:hanging="454"/>
              <w:rPr>
                <w:rFonts w:ascii="Arial" w:hAnsi="Arial" w:cs="Arial"/>
              </w:rPr>
            </w:pPr>
          </w:p>
          <w:p w:rsidR="00270BC8" w:rsidRPr="00A07CC1" w:rsidRDefault="00270BC8" w:rsidP="00270BC8">
            <w:pPr>
              <w:ind w:left="454" w:hanging="454"/>
              <w:rPr>
                <w:rFonts w:ascii="Arial" w:hAnsi="Arial" w:cs="Arial"/>
              </w:rPr>
            </w:pPr>
            <w:r w:rsidRPr="00A07CC1">
              <w:rPr>
                <w:rFonts w:ascii="Arial" w:hAnsi="Arial" w:cs="Arial"/>
                <w:b/>
              </w:rPr>
              <w:t xml:space="preserve">3.3   </w:t>
            </w:r>
            <w:r w:rsidRPr="00A07CC1">
              <w:rPr>
                <w:rFonts w:ascii="Arial" w:hAnsi="Arial" w:cs="Arial"/>
              </w:rPr>
              <w:t>Allocate a safe place to store equipment and returns for safe onward disposal. The storage containers provided by the commissioned clinical waste disposal service will be used to store returned used equipment. Returned sharps can only be accepted in sharp proof containers. In no circumstances should staff handle sharps waste.</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 xml:space="preserve">3.4   </w:t>
            </w:r>
            <w:r w:rsidRPr="00A07CC1">
              <w:rPr>
                <w:rFonts w:ascii="Arial" w:hAnsi="Arial" w:cs="Arial"/>
              </w:rPr>
              <w:t xml:space="preserve">Will Ensure that their staff are made aware of the risk associated with the handling of returned used equipment and the correct procedures used to minimise those risks. A needle stick injury protocol, which all staff have read agreed to adhere to, must be in </w:t>
            </w:r>
            <w:proofErr w:type="gramStart"/>
            <w:r w:rsidRPr="00A07CC1">
              <w:rPr>
                <w:rFonts w:ascii="Arial" w:hAnsi="Arial" w:cs="Arial"/>
              </w:rPr>
              <w:t>place..</w:t>
            </w:r>
            <w:proofErr w:type="gramEnd"/>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 xml:space="preserve">3.5   </w:t>
            </w:r>
            <w:r w:rsidRPr="00A07CC1">
              <w:rPr>
                <w:rFonts w:ascii="Arial" w:hAnsi="Arial" w:cs="Arial"/>
              </w:rPr>
              <w:t>Will maintain appropriate records to ensure effective ongoing service delivery and audit as required by BDP.</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 xml:space="preserve">3.6   </w:t>
            </w:r>
            <w:r w:rsidRPr="00A07CC1">
              <w:rPr>
                <w:rFonts w:ascii="Arial" w:hAnsi="Arial" w:cs="Arial"/>
              </w:rPr>
              <w:t>Provide appropriate protective equipment, including gloves, overalls and materials to deal with spillages, readily available close to the storage site.</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 xml:space="preserve">3.7   </w:t>
            </w:r>
            <w:r w:rsidRPr="00A07CC1">
              <w:rPr>
                <w:rFonts w:ascii="Arial" w:hAnsi="Arial" w:cs="Arial"/>
              </w:rPr>
              <w:t>Clearly display the national scheme logo or a local logo indicating participation in the service.</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3.8</w:t>
            </w:r>
            <w:r w:rsidRPr="00A07CC1">
              <w:rPr>
                <w:rFonts w:ascii="Arial" w:hAnsi="Arial" w:cs="Arial"/>
              </w:rPr>
              <w:t xml:space="preserve">   Share relevant information with other health care professionals and agencies, in line with locally determined confidentiality arrangements.</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rPr>
            </w:pPr>
            <w:r w:rsidRPr="00A07CC1">
              <w:rPr>
                <w:rFonts w:ascii="Arial" w:hAnsi="Arial" w:cs="Arial"/>
                <w:b/>
              </w:rPr>
              <w:t>3.9</w:t>
            </w:r>
            <w:r w:rsidRPr="00A07CC1">
              <w:rPr>
                <w:rFonts w:ascii="Arial" w:hAnsi="Arial" w:cs="Arial"/>
              </w:rPr>
              <w:t xml:space="preserve">   Work in partnership with the Harm Reduction Service to flex and service from the </w:t>
            </w:r>
            <w:r w:rsidRPr="00A07CC1">
              <w:rPr>
                <w:rFonts w:ascii="Arial" w:hAnsi="Arial" w:cs="Arial"/>
              </w:rPr>
              <w:lastRenderedPageBreak/>
              <w:t>pharmacy and/ or for individual clients as required by the Harm Reduction Service.</w:t>
            </w:r>
          </w:p>
          <w:p w:rsidR="005F172D" w:rsidRPr="00A07CC1" w:rsidRDefault="005F172D" w:rsidP="00270BC8">
            <w:pPr>
              <w:ind w:left="454" w:hanging="454"/>
              <w:rPr>
                <w:rFonts w:ascii="Arial" w:hAnsi="Arial" w:cs="Arial"/>
              </w:rPr>
            </w:pPr>
          </w:p>
          <w:p w:rsidR="005F172D" w:rsidRPr="00A07CC1" w:rsidRDefault="005F172D" w:rsidP="00270BC8">
            <w:pPr>
              <w:ind w:left="454" w:hanging="454"/>
              <w:rPr>
                <w:rFonts w:ascii="Arial" w:hAnsi="Arial" w:cs="Arial"/>
                <w:b/>
              </w:rPr>
            </w:pPr>
            <w:r w:rsidRPr="00A07CC1">
              <w:rPr>
                <w:rFonts w:ascii="Arial" w:hAnsi="Arial" w:cs="Arial"/>
                <w:b/>
              </w:rPr>
              <w:t>3.10 BDP will:</w:t>
            </w:r>
          </w:p>
          <w:p w:rsidR="00DE5207" w:rsidRPr="00A07CC1" w:rsidRDefault="00DE5207" w:rsidP="00270BC8">
            <w:pPr>
              <w:ind w:left="454" w:hanging="454"/>
              <w:rPr>
                <w:rFonts w:ascii="Arial" w:hAnsi="Arial" w:cs="Arial"/>
                <w:b/>
              </w:rPr>
            </w:pPr>
          </w:p>
          <w:p w:rsidR="00DE5207" w:rsidRPr="00A07CC1" w:rsidRDefault="00DE5207" w:rsidP="00270BC8">
            <w:pPr>
              <w:ind w:left="454" w:hanging="454"/>
              <w:rPr>
                <w:rFonts w:ascii="Arial" w:hAnsi="Arial" w:cs="Arial"/>
              </w:rPr>
            </w:pPr>
            <w:r w:rsidRPr="00A07CC1">
              <w:rPr>
                <w:rFonts w:ascii="Arial" w:hAnsi="Arial" w:cs="Arial"/>
                <w:b/>
              </w:rPr>
              <w:t xml:space="preserve">3.11 </w:t>
            </w:r>
            <w:r w:rsidRPr="00A07CC1">
              <w:rPr>
                <w:rFonts w:ascii="Arial" w:hAnsi="Arial" w:cs="Arial"/>
              </w:rPr>
              <w:t>Provide the exchange packs and associated materials</w:t>
            </w:r>
          </w:p>
          <w:p w:rsidR="00DE5207" w:rsidRPr="00A07CC1" w:rsidRDefault="00DE5207" w:rsidP="00270BC8">
            <w:pPr>
              <w:ind w:left="454" w:hanging="454"/>
              <w:rPr>
                <w:rFonts w:ascii="Arial" w:hAnsi="Arial" w:cs="Arial"/>
              </w:rPr>
            </w:pPr>
          </w:p>
          <w:p w:rsidR="00DE5207" w:rsidRPr="00A07CC1" w:rsidRDefault="00DE5207" w:rsidP="00270BC8">
            <w:pPr>
              <w:ind w:left="454" w:hanging="454"/>
              <w:rPr>
                <w:rFonts w:ascii="Arial" w:hAnsi="Arial" w:cs="Arial"/>
              </w:rPr>
            </w:pPr>
            <w:r w:rsidRPr="00A07CC1">
              <w:rPr>
                <w:rFonts w:ascii="Arial" w:hAnsi="Arial" w:cs="Arial"/>
                <w:b/>
              </w:rPr>
              <w:t xml:space="preserve">3.12 </w:t>
            </w:r>
            <w:r w:rsidRPr="00A07CC1">
              <w:rPr>
                <w:rFonts w:ascii="Arial" w:hAnsi="Arial" w:cs="Arial"/>
              </w:rPr>
              <w:t>Will commission a clinical waste disposal service for each participating pharmacy. The frequency of waste collection will be agreed to ensure there is not an unacceptable build up of clinical waste on the pharmacy premises</w:t>
            </w:r>
          </w:p>
          <w:p w:rsidR="00DE5207" w:rsidRPr="00A07CC1" w:rsidRDefault="00DE5207" w:rsidP="00270BC8">
            <w:pPr>
              <w:ind w:left="454" w:hanging="454"/>
              <w:rPr>
                <w:rFonts w:ascii="Arial" w:hAnsi="Arial" w:cs="Arial"/>
              </w:rPr>
            </w:pPr>
          </w:p>
          <w:p w:rsidR="00DE5207" w:rsidRPr="00A07CC1" w:rsidRDefault="006D227E" w:rsidP="00270BC8">
            <w:pPr>
              <w:ind w:left="454" w:hanging="454"/>
              <w:rPr>
                <w:rFonts w:ascii="Arial" w:hAnsi="Arial" w:cs="Arial"/>
              </w:rPr>
            </w:pPr>
            <w:r w:rsidRPr="00A07CC1">
              <w:rPr>
                <w:rFonts w:ascii="Arial" w:hAnsi="Arial" w:cs="Arial"/>
                <w:b/>
              </w:rPr>
              <w:t xml:space="preserve">3.13 </w:t>
            </w:r>
            <w:r w:rsidRPr="00A07CC1">
              <w:rPr>
                <w:rFonts w:ascii="Arial" w:hAnsi="Arial" w:cs="Arial"/>
              </w:rPr>
              <w:t>Provide a framework for the recording of relevant service information for the purposes of audit and the claiming of payment.</w:t>
            </w:r>
          </w:p>
          <w:p w:rsidR="006D227E" w:rsidRPr="00A07CC1" w:rsidRDefault="006D227E" w:rsidP="00270BC8">
            <w:pPr>
              <w:ind w:left="454" w:hanging="454"/>
              <w:rPr>
                <w:rFonts w:ascii="Arial" w:hAnsi="Arial" w:cs="Arial"/>
              </w:rPr>
            </w:pPr>
          </w:p>
          <w:p w:rsidR="006D227E" w:rsidRPr="00A07CC1" w:rsidRDefault="006D227E" w:rsidP="00270BC8">
            <w:pPr>
              <w:ind w:left="454" w:hanging="454"/>
              <w:rPr>
                <w:rFonts w:ascii="Arial" w:hAnsi="Arial" w:cs="Arial"/>
              </w:rPr>
            </w:pPr>
            <w:r w:rsidRPr="00A07CC1">
              <w:rPr>
                <w:rFonts w:ascii="Arial" w:hAnsi="Arial" w:cs="Arial"/>
                <w:b/>
              </w:rPr>
              <w:t xml:space="preserve">3.14 </w:t>
            </w:r>
            <w:r w:rsidRPr="00A07CC1">
              <w:rPr>
                <w:rFonts w:ascii="Arial" w:hAnsi="Arial" w:cs="Arial"/>
              </w:rPr>
              <w:t>Provide details of relevant referral points, which pharmacy staff can use, to signpost service users who require further assistance.</w:t>
            </w:r>
          </w:p>
          <w:p w:rsidR="006D227E" w:rsidRPr="00A07CC1" w:rsidRDefault="006D227E" w:rsidP="00270BC8">
            <w:pPr>
              <w:ind w:left="454" w:hanging="454"/>
              <w:rPr>
                <w:rFonts w:ascii="Arial" w:hAnsi="Arial" w:cs="Arial"/>
              </w:rPr>
            </w:pPr>
          </w:p>
          <w:p w:rsidR="006D227E" w:rsidRPr="00A07CC1" w:rsidRDefault="006D227E" w:rsidP="00270BC8">
            <w:pPr>
              <w:ind w:left="454" w:hanging="454"/>
              <w:rPr>
                <w:rFonts w:ascii="Arial" w:hAnsi="Arial" w:cs="Arial"/>
              </w:rPr>
            </w:pPr>
            <w:r w:rsidRPr="00A07CC1">
              <w:rPr>
                <w:rFonts w:ascii="Arial" w:hAnsi="Arial" w:cs="Arial"/>
                <w:b/>
              </w:rPr>
              <w:t xml:space="preserve">3.15 </w:t>
            </w:r>
            <w:r w:rsidRPr="00A07CC1">
              <w:rPr>
                <w:rFonts w:ascii="Arial" w:hAnsi="Arial" w:cs="Arial"/>
              </w:rPr>
              <w:t>Provide health promotion material relevant to the service users and make this available to pharmacies.</w:t>
            </w:r>
          </w:p>
          <w:p w:rsidR="006D227E" w:rsidRPr="00A07CC1" w:rsidRDefault="006D227E" w:rsidP="00270BC8">
            <w:pPr>
              <w:ind w:left="454" w:hanging="454"/>
              <w:rPr>
                <w:rFonts w:ascii="Arial" w:hAnsi="Arial" w:cs="Arial"/>
              </w:rPr>
            </w:pPr>
          </w:p>
          <w:p w:rsidR="006D227E" w:rsidRPr="00A07CC1" w:rsidRDefault="006D227E" w:rsidP="006D227E">
            <w:pPr>
              <w:ind w:left="454" w:hanging="454"/>
              <w:rPr>
                <w:rFonts w:ascii="Arial" w:hAnsi="Arial" w:cs="Arial"/>
                <w:b/>
              </w:rPr>
            </w:pPr>
          </w:p>
          <w:p w:rsidR="006D227E" w:rsidRPr="00A07CC1" w:rsidRDefault="006D227E" w:rsidP="006D227E">
            <w:pPr>
              <w:ind w:left="454" w:hanging="454"/>
              <w:rPr>
                <w:rFonts w:ascii="Arial" w:hAnsi="Arial" w:cs="Arial"/>
              </w:rPr>
            </w:pPr>
            <w:r w:rsidRPr="00A07CC1">
              <w:rPr>
                <w:rFonts w:ascii="Arial" w:hAnsi="Arial" w:cs="Arial"/>
                <w:b/>
              </w:rPr>
              <w:t xml:space="preserve">3.16 </w:t>
            </w:r>
            <w:r w:rsidRPr="00A07CC1">
              <w:rPr>
                <w:rFonts w:ascii="Arial" w:hAnsi="Arial" w:cs="Arial"/>
              </w:rPr>
              <w:t>Safer Bristol will arrange at least one contractor meeting per year to promote service development and update the knowledge of staff involved in the service.</w:t>
            </w:r>
          </w:p>
          <w:p w:rsidR="006D227E" w:rsidRPr="00A07CC1" w:rsidRDefault="006D227E" w:rsidP="006D227E">
            <w:pPr>
              <w:rPr>
                <w:rFonts w:ascii="Arial" w:hAnsi="Arial" w:cs="Arial"/>
              </w:rPr>
            </w:pPr>
          </w:p>
          <w:p w:rsidR="006D227E" w:rsidRPr="00A07CC1" w:rsidRDefault="006D227E" w:rsidP="006D227E">
            <w:pPr>
              <w:rPr>
                <w:rFonts w:ascii="Arial" w:hAnsi="Arial" w:cs="Arial"/>
              </w:rPr>
            </w:pPr>
          </w:p>
        </w:tc>
      </w:tr>
      <w:tr w:rsidR="006D227E" w:rsidRPr="00A07CC1" w:rsidTr="003F710A">
        <w:trPr>
          <w:trHeight w:val="1648"/>
        </w:trPr>
        <w:tc>
          <w:tcPr>
            <w:tcW w:w="9242" w:type="dxa"/>
          </w:tcPr>
          <w:p w:rsidR="000057CA" w:rsidRPr="00A07CC1" w:rsidRDefault="000057CA" w:rsidP="00D04B72">
            <w:pPr>
              <w:rPr>
                <w:rFonts w:ascii="Arial" w:hAnsi="Arial" w:cs="Arial"/>
                <w:b/>
              </w:rPr>
            </w:pPr>
            <w:r w:rsidRPr="00A07CC1">
              <w:rPr>
                <w:rFonts w:ascii="Arial" w:hAnsi="Arial" w:cs="Arial"/>
                <w:b/>
              </w:rPr>
              <w:lastRenderedPageBreak/>
              <w:t>Quality Indicators/ Review Criteria</w:t>
            </w:r>
          </w:p>
          <w:p w:rsidR="000057CA" w:rsidRPr="00A07CC1" w:rsidRDefault="000057CA" w:rsidP="00D04B72">
            <w:pPr>
              <w:rPr>
                <w:rFonts w:ascii="Arial" w:hAnsi="Arial" w:cs="Arial"/>
                <w:b/>
              </w:rPr>
            </w:pPr>
          </w:p>
          <w:p w:rsidR="000057CA" w:rsidRPr="00A07CC1" w:rsidRDefault="000057CA" w:rsidP="000057CA">
            <w:pPr>
              <w:ind w:left="426" w:hanging="431"/>
              <w:rPr>
                <w:rFonts w:ascii="Arial" w:hAnsi="Arial" w:cs="Arial"/>
              </w:rPr>
            </w:pPr>
            <w:proofErr w:type="gramStart"/>
            <w:r w:rsidRPr="00A07CC1">
              <w:rPr>
                <w:rFonts w:ascii="Arial" w:hAnsi="Arial" w:cs="Arial"/>
                <w:b/>
              </w:rPr>
              <w:t xml:space="preserve">4.1  </w:t>
            </w:r>
            <w:r w:rsidRPr="00A07CC1">
              <w:rPr>
                <w:rFonts w:ascii="Arial" w:hAnsi="Arial" w:cs="Arial"/>
              </w:rPr>
              <w:t>The</w:t>
            </w:r>
            <w:proofErr w:type="gramEnd"/>
            <w:r w:rsidRPr="00A07CC1">
              <w:rPr>
                <w:rFonts w:ascii="Arial" w:hAnsi="Arial" w:cs="Arial"/>
              </w:rPr>
              <w:t xml:space="preserve"> pharmacy has appropriate health promotion material available for the user group and promotes its uptake.</w:t>
            </w:r>
          </w:p>
          <w:p w:rsidR="000057CA" w:rsidRPr="00A07CC1" w:rsidRDefault="000057CA" w:rsidP="000057CA">
            <w:pPr>
              <w:ind w:left="426" w:hanging="431"/>
              <w:rPr>
                <w:rFonts w:ascii="Arial" w:hAnsi="Arial" w:cs="Arial"/>
              </w:rPr>
            </w:pPr>
          </w:p>
          <w:p w:rsidR="000057CA" w:rsidRPr="00A07CC1" w:rsidRDefault="000057CA" w:rsidP="000057CA">
            <w:pPr>
              <w:ind w:left="426" w:hanging="431"/>
              <w:rPr>
                <w:rFonts w:ascii="Arial" w:hAnsi="Arial" w:cs="Arial"/>
              </w:rPr>
            </w:pPr>
            <w:proofErr w:type="gramStart"/>
            <w:r w:rsidRPr="00A07CC1">
              <w:rPr>
                <w:rFonts w:ascii="Arial" w:hAnsi="Arial" w:cs="Arial"/>
                <w:b/>
              </w:rPr>
              <w:t xml:space="preserve">4.2  </w:t>
            </w:r>
            <w:r w:rsidRPr="00A07CC1">
              <w:rPr>
                <w:rFonts w:ascii="Arial" w:hAnsi="Arial" w:cs="Arial"/>
              </w:rPr>
              <w:t>The</w:t>
            </w:r>
            <w:proofErr w:type="gramEnd"/>
            <w:r w:rsidRPr="00A07CC1">
              <w:rPr>
                <w:rFonts w:ascii="Arial" w:hAnsi="Arial" w:cs="Arial"/>
              </w:rPr>
              <w:t xml:space="preserve"> pharmacy reviews its standard operating procedures and the referral pathways for the service on an annual basis.</w:t>
            </w:r>
          </w:p>
          <w:p w:rsidR="000057CA" w:rsidRPr="00A07CC1" w:rsidRDefault="000057CA" w:rsidP="000057CA">
            <w:pPr>
              <w:ind w:left="426" w:hanging="431"/>
              <w:rPr>
                <w:rFonts w:ascii="Arial" w:hAnsi="Arial" w:cs="Arial"/>
              </w:rPr>
            </w:pPr>
          </w:p>
          <w:p w:rsidR="000057CA" w:rsidRPr="00A07CC1" w:rsidRDefault="000057CA" w:rsidP="000057CA">
            <w:pPr>
              <w:ind w:left="426" w:hanging="431"/>
              <w:rPr>
                <w:rFonts w:ascii="Arial" w:hAnsi="Arial" w:cs="Arial"/>
              </w:rPr>
            </w:pPr>
            <w:proofErr w:type="gramStart"/>
            <w:r w:rsidRPr="00A07CC1">
              <w:rPr>
                <w:rFonts w:ascii="Arial" w:hAnsi="Arial" w:cs="Arial"/>
                <w:b/>
              </w:rPr>
              <w:t xml:space="preserve">4.3  </w:t>
            </w:r>
            <w:r w:rsidRPr="00A07CC1">
              <w:rPr>
                <w:rFonts w:ascii="Arial" w:hAnsi="Arial" w:cs="Arial"/>
              </w:rPr>
              <w:t>The</w:t>
            </w:r>
            <w:proofErr w:type="gramEnd"/>
            <w:r w:rsidRPr="00A07CC1">
              <w:rPr>
                <w:rFonts w:ascii="Arial" w:hAnsi="Arial" w:cs="Arial"/>
              </w:rPr>
              <w:t xml:space="preserve"> pharmacy can </w:t>
            </w:r>
            <w:r w:rsidR="00326185" w:rsidRPr="00A07CC1">
              <w:rPr>
                <w:rFonts w:ascii="Arial" w:hAnsi="Arial" w:cs="Arial"/>
              </w:rPr>
              <w:t>demonstrate that pharmacists and staff involved in the provision of service have undertaken CPD relevant to this service.</w:t>
            </w:r>
          </w:p>
          <w:p w:rsidR="00326185" w:rsidRPr="00A07CC1" w:rsidRDefault="00326185" w:rsidP="000057CA">
            <w:pPr>
              <w:ind w:left="426" w:hanging="431"/>
              <w:rPr>
                <w:rFonts w:ascii="Arial" w:hAnsi="Arial" w:cs="Arial"/>
              </w:rPr>
            </w:pPr>
          </w:p>
          <w:p w:rsidR="00326185" w:rsidRPr="00A07CC1" w:rsidRDefault="00326185" w:rsidP="000057CA">
            <w:pPr>
              <w:ind w:left="426" w:hanging="431"/>
              <w:rPr>
                <w:rFonts w:ascii="Arial" w:hAnsi="Arial" w:cs="Arial"/>
              </w:rPr>
            </w:pPr>
            <w:proofErr w:type="gramStart"/>
            <w:r w:rsidRPr="00A07CC1">
              <w:rPr>
                <w:rFonts w:ascii="Arial" w:hAnsi="Arial" w:cs="Arial"/>
                <w:b/>
              </w:rPr>
              <w:t xml:space="preserve">4.4  </w:t>
            </w:r>
            <w:r w:rsidRPr="00A07CC1">
              <w:rPr>
                <w:rFonts w:ascii="Arial" w:hAnsi="Arial" w:cs="Arial"/>
              </w:rPr>
              <w:t>The</w:t>
            </w:r>
            <w:proofErr w:type="gramEnd"/>
            <w:r w:rsidRPr="00A07CC1">
              <w:rPr>
                <w:rFonts w:ascii="Arial" w:hAnsi="Arial" w:cs="Arial"/>
              </w:rPr>
              <w:t xml:space="preserve"> pharmacy can demonstrate that the rate of return of used equipment informs local monitoring and promotes safe disposal </w:t>
            </w:r>
            <w:proofErr w:type="spellStart"/>
            <w:r w:rsidRPr="00A07CC1">
              <w:rPr>
                <w:rFonts w:ascii="Arial" w:hAnsi="Arial" w:cs="Arial"/>
              </w:rPr>
              <w:t>ets</w:t>
            </w:r>
            <w:proofErr w:type="spellEnd"/>
            <w:r w:rsidRPr="00A07CC1">
              <w:rPr>
                <w:rFonts w:ascii="Arial" w:hAnsi="Arial" w:cs="Arial"/>
              </w:rPr>
              <w:t>.</w:t>
            </w:r>
          </w:p>
          <w:p w:rsidR="00326185" w:rsidRPr="00A07CC1" w:rsidRDefault="00326185" w:rsidP="000057CA">
            <w:pPr>
              <w:ind w:left="426" w:hanging="431"/>
              <w:rPr>
                <w:rFonts w:ascii="Arial" w:hAnsi="Arial" w:cs="Arial"/>
              </w:rPr>
            </w:pPr>
          </w:p>
          <w:p w:rsidR="00326185" w:rsidRPr="00A07CC1" w:rsidRDefault="00326185" w:rsidP="000057CA">
            <w:pPr>
              <w:ind w:left="426" w:hanging="431"/>
              <w:rPr>
                <w:rFonts w:ascii="Arial" w:hAnsi="Arial" w:cs="Arial"/>
              </w:rPr>
            </w:pPr>
            <w:proofErr w:type="gramStart"/>
            <w:r w:rsidRPr="00A07CC1">
              <w:rPr>
                <w:rFonts w:ascii="Arial" w:hAnsi="Arial" w:cs="Arial"/>
                <w:b/>
              </w:rPr>
              <w:t xml:space="preserve">4.5  </w:t>
            </w:r>
            <w:r w:rsidRPr="00A07CC1">
              <w:rPr>
                <w:rFonts w:ascii="Arial" w:hAnsi="Arial" w:cs="Arial"/>
              </w:rPr>
              <w:t>The</w:t>
            </w:r>
            <w:proofErr w:type="gramEnd"/>
            <w:r w:rsidRPr="00A07CC1">
              <w:rPr>
                <w:rFonts w:ascii="Arial" w:hAnsi="Arial" w:cs="Arial"/>
              </w:rPr>
              <w:t xml:space="preserve"> pharmacy participates in any appropriate organised audit of service provision.</w:t>
            </w:r>
          </w:p>
          <w:p w:rsidR="00326185" w:rsidRPr="00A07CC1" w:rsidRDefault="00326185" w:rsidP="000057CA">
            <w:pPr>
              <w:ind w:left="426" w:hanging="431"/>
              <w:rPr>
                <w:rFonts w:ascii="Arial" w:hAnsi="Arial" w:cs="Arial"/>
              </w:rPr>
            </w:pPr>
          </w:p>
          <w:p w:rsidR="00326185" w:rsidRPr="00A07CC1" w:rsidRDefault="00326185" w:rsidP="000057CA">
            <w:pPr>
              <w:ind w:left="426" w:hanging="431"/>
              <w:rPr>
                <w:rFonts w:ascii="Arial" w:hAnsi="Arial" w:cs="Arial"/>
              </w:rPr>
            </w:pPr>
            <w:proofErr w:type="gramStart"/>
            <w:r w:rsidRPr="00A07CC1">
              <w:rPr>
                <w:rFonts w:ascii="Arial" w:hAnsi="Arial" w:cs="Arial"/>
                <w:b/>
              </w:rPr>
              <w:t xml:space="preserve">4.6  </w:t>
            </w:r>
            <w:r w:rsidRPr="00A07CC1">
              <w:rPr>
                <w:rFonts w:ascii="Arial" w:hAnsi="Arial" w:cs="Arial"/>
              </w:rPr>
              <w:t>The</w:t>
            </w:r>
            <w:proofErr w:type="gramEnd"/>
            <w:r w:rsidRPr="00A07CC1">
              <w:rPr>
                <w:rFonts w:ascii="Arial" w:hAnsi="Arial" w:cs="Arial"/>
              </w:rPr>
              <w:t xml:space="preserve"> pharmacy co-operates with any locally agreed assessment of service user experience.</w:t>
            </w:r>
          </w:p>
          <w:p w:rsidR="00326185" w:rsidRPr="00A07CC1" w:rsidRDefault="00326185" w:rsidP="000057CA">
            <w:pPr>
              <w:ind w:left="426" w:hanging="431"/>
              <w:rPr>
                <w:rFonts w:ascii="Arial" w:hAnsi="Arial" w:cs="Arial"/>
              </w:rPr>
            </w:pPr>
          </w:p>
        </w:tc>
      </w:tr>
      <w:tr w:rsidR="00326185" w:rsidRPr="00A07CC1" w:rsidTr="003F710A">
        <w:trPr>
          <w:trHeight w:val="1648"/>
        </w:trPr>
        <w:tc>
          <w:tcPr>
            <w:tcW w:w="9242" w:type="dxa"/>
          </w:tcPr>
          <w:p w:rsidR="00326185" w:rsidRPr="00A07CC1" w:rsidRDefault="00326185" w:rsidP="00D04B72">
            <w:pPr>
              <w:rPr>
                <w:rFonts w:ascii="Arial" w:hAnsi="Arial" w:cs="Arial"/>
                <w:b/>
              </w:rPr>
            </w:pPr>
            <w:r w:rsidRPr="00A07CC1">
              <w:rPr>
                <w:rFonts w:ascii="Arial" w:hAnsi="Arial" w:cs="Arial"/>
                <w:b/>
              </w:rPr>
              <w:t>CPPE training which may support this service:</w:t>
            </w:r>
          </w:p>
          <w:p w:rsidR="00326185" w:rsidRPr="00A07CC1" w:rsidRDefault="00326185" w:rsidP="00D04B72">
            <w:pPr>
              <w:rPr>
                <w:rFonts w:ascii="Arial" w:hAnsi="Arial" w:cs="Arial"/>
                <w:b/>
              </w:rPr>
            </w:pPr>
          </w:p>
          <w:p w:rsidR="00326185" w:rsidRPr="00A07CC1" w:rsidRDefault="00326185" w:rsidP="00D04B72">
            <w:pPr>
              <w:rPr>
                <w:rFonts w:ascii="Arial" w:hAnsi="Arial" w:cs="Arial"/>
              </w:rPr>
            </w:pPr>
            <w:r w:rsidRPr="00A07CC1">
              <w:rPr>
                <w:rFonts w:ascii="Arial" w:hAnsi="Arial" w:cs="Arial"/>
              </w:rPr>
              <w:t xml:space="preserve">Opiate treatment: Supporting </w:t>
            </w:r>
            <w:proofErr w:type="spellStart"/>
            <w:r w:rsidRPr="00A07CC1">
              <w:rPr>
                <w:rFonts w:ascii="Arial" w:hAnsi="Arial" w:cs="Arial"/>
              </w:rPr>
              <w:t>pharmacisits</w:t>
            </w:r>
            <w:proofErr w:type="spellEnd"/>
            <w:r w:rsidRPr="00A07CC1">
              <w:rPr>
                <w:rFonts w:ascii="Arial" w:hAnsi="Arial" w:cs="Arial"/>
              </w:rPr>
              <w:t xml:space="preserve"> for improved patient care open learning.</w:t>
            </w:r>
          </w:p>
          <w:p w:rsidR="00326185" w:rsidRPr="00A07CC1" w:rsidRDefault="00326185" w:rsidP="00D04B72">
            <w:pPr>
              <w:rPr>
                <w:rFonts w:ascii="Arial" w:hAnsi="Arial" w:cs="Arial"/>
              </w:rPr>
            </w:pPr>
            <w:r w:rsidRPr="00A07CC1">
              <w:rPr>
                <w:rFonts w:ascii="Arial" w:hAnsi="Arial" w:cs="Arial"/>
              </w:rPr>
              <w:t>Locally organised Best Practice Meetings</w:t>
            </w:r>
          </w:p>
          <w:p w:rsidR="00326185" w:rsidRPr="00A07CC1" w:rsidRDefault="00326185" w:rsidP="00D04B72">
            <w:pPr>
              <w:rPr>
                <w:rFonts w:ascii="Arial" w:hAnsi="Arial" w:cs="Arial"/>
              </w:rPr>
            </w:pPr>
          </w:p>
        </w:tc>
      </w:tr>
      <w:tr w:rsidR="00326185" w:rsidRPr="00A07CC1" w:rsidTr="003F710A">
        <w:trPr>
          <w:trHeight w:val="1648"/>
        </w:trPr>
        <w:tc>
          <w:tcPr>
            <w:tcW w:w="9242" w:type="dxa"/>
          </w:tcPr>
          <w:p w:rsidR="00326185" w:rsidRPr="00A07CC1" w:rsidRDefault="00FC547C" w:rsidP="00D04B72">
            <w:pPr>
              <w:rPr>
                <w:rFonts w:ascii="Arial" w:hAnsi="Arial" w:cs="Arial"/>
              </w:rPr>
            </w:pPr>
            <w:r w:rsidRPr="00A07CC1">
              <w:rPr>
                <w:rFonts w:ascii="Arial" w:hAnsi="Arial" w:cs="Arial"/>
              </w:rPr>
              <w:lastRenderedPageBreak/>
              <w:t>The service provided forms one part of a community-based health, social services, police, probation and independent sector response to substance misuse in Bristol. The service provided is incorporated within and is one element of the Bristol Needle Exchange and Harm Reduction Service.</w:t>
            </w:r>
          </w:p>
          <w:p w:rsidR="00FC547C" w:rsidRPr="00A07CC1" w:rsidRDefault="00FC547C" w:rsidP="00D04B72">
            <w:pPr>
              <w:rPr>
                <w:rFonts w:ascii="Arial" w:hAnsi="Arial" w:cs="Arial"/>
              </w:rPr>
            </w:pPr>
          </w:p>
          <w:p w:rsidR="00FC547C" w:rsidRPr="00A07CC1" w:rsidRDefault="00FC547C" w:rsidP="00D04B72">
            <w:pPr>
              <w:rPr>
                <w:rFonts w:ascii="Arial" w:hAnsi="Arial" w:cs="Arial"/>
                <w:b/>
              </w:rPr>
            </w:pPr>
            <w:r w:rsidRPr="00A07CC1">
              <w:rPr>
                <w:rFonts w:ascii="Arial" w:hAnsi="Arial" w:cs="Arial"/>
                <w:b/>
              </w:rPr>
              <w:t>This service level agreement will support pharmacies to be able to:</w:t>
            </w:r>
          </w:p>
          <w:p w:rsidR="00FC547C" w:rsidRPr="00A07CC1" w:rsidRDefault="00FC547C" w:rsidP="00D04B72">
            <w:pPr>
              <w:rPr>
                <w:rFonts w:ascii="Arial" w:hAnsi="Arial" w:cs="Arial"/>
                <w:b/>
              </w:rPr>
            </w:pPr>
          </w:p>
          <w:p w:rsidR="00FC547C" w:rsidRPr="00A07CC1" w:rsidRDefault="00FC547C" w:rsidP="00FC547C">
            <w:pPr>
              <w:pStyle w:val="ListParagraph"/>
              <w:numPr>
                <w:ilvl w:val="0"/>
                <w:numId w:val="4"/>
              </w:numPr>
              <w:rPr>
                <w:rFonts w:ascii="Arial" w:hAnsi="Arial" w:cs="Arial"/>
              </w:rPr>
            </w:pPr>
            <w:r w:rsidRPr="00A07CC1">
              <w:rPr>
                <w:rFonts w:ascii="Arial" w:hAnsi="Arial" w:cs="Arial"/>
              </w:rPr>
              <w:t>Co-ordinate the care of drug and alcohol users in line with local protocols. Pharmacy leads must have knowledge of local treatment available.</w:t>
            </w:r>
          </w:p>
          <w:p w:rsidR="00FC547C" w:rsidRPr="00A07CC1" w:rsidRDefault="00FC547C" w:rsidP="00FC547C">
            <w:pPr>
              <w:rPr>
                <w:rFonts w:ascii="Arial" w:hAnsi="Arial" w:cs="Arial"/>
              </w:rPr>
            </w:pPr>
          </w:p>
          <w:p w:rsidR="00FC547C" w:rsidRPr="00A07CC1" w:rsidRDefault="00FC547C" w:rsidP="00FC547C">
            <w:pPr>
              <w:pStyle w:val="ListParagraph"/>
              <w:numPr>
                <w:ilvl w:val="0"/>
                <w:numId w:val="4"/>
              </w:numPr>
              <w:rPr>
                <w:rFonts w:ascii="Arial" w:hAnsi="Arial" w:cs="Arial"/>
              </w:rPr>
            </w:pPr>
            <w:r w:rsidRPr="00A07CC1">
              <w:rPr>
                <w:rFonts w:ascii="Arial" w:hAnsi="Arial" w:cs="Arial"/>
              </w:rPr>
              <w:t>Work with the Bristol Needle Exchange and Harm Reduction service as part of a city-wide Harm Reduction Programme.</w:t>
            </w:r>
          </w:p>
          <w:p w:rsidR="00FC547C" w:rsidRPr="00A07CC1" w:rsidRDefault="00FC547C" w:rsidP="00FC547C">
            <w:pPr>
              <w:pStyle w:val="ListParagraph"/>
              <w:rPr>
                <w:rFonts w:ascii="Arial" w:hAnsi="Arial" w:cs="Arial"/>
              </w:rPr>
            </w:pPr>
          </w:p>
          <w:p w:rsidR="00FC547C" w:rsidRPr="00A07CC1" w:rsidRDefault="00FC547C" w:rsidP="00FC547C">
            <w:pPr>
              <w:pStyle w:val="ListParagraph"/>
              <w:numPr>
                <w:ilvl w:val="0"/>
                <w:numId w:val="4"/>
              </w:numPr>
              <w:rPr>
                <w:rFonts w:ascii="Arial" w:hAnsi="Arial" w:cs="Arial"/>
              </w:rPr>
            </w:pPr>
            <w:r w:rsidRPr="00A07CC1">
              <w:rPr>
                <w:rFonts w:ascii="Arial" w:hAnsi="Arial" w:cs="Arial"/>
              </w:rPr>
              <w:t>Enable the lead Pharmacist to attend local meetings with peers to share good practice and be updated on the latest developments in the treatment of drug misuse.</w:t>
            </w:r>
          </w:p>
          <w:p w:rsidR="00FC547C" w:rsidRPr="00A07CC1" w:rsidRDefault="00FC547C" w:rsidP="00FC547C">
            <w:pPr>
              <w:rPr>
                <w:rFonts w:ascii="Arial" w:hAnsi="Arial" w:cs="Arial"/>
              </w:rPr>
            </w:pPr>
          </w:p>
        </w:tc>
      </w:tr>
      <w:tr w:rsidR="00FC547C" w:rsidRPr="00A07CC1" w:rsidTr="003F710A">
        <w:trPr>
          <w:trHeight w:val="1648"/>
        </w:trPr>
        <w:tc>
          <w:tcPr>
            <w:tcW w:w="9242" w:type="dxa"/>
          </w:tcPr>
          <w:p w:rsidR="00FC547C" w:rsidRPr="00A07CC1" w:rsidRDefault="00FC547C" w:rsidP="00D04B72">
            <w:pPr>
              <w:rPr>
                <w:rFonts w:ascii="Arial" w:hAnsi="Arial" w:cs="Arial"/>
                <w:b/>
              </w:rPr>
            </w:pPr>
            <w:r w:rsidRPr="00A07CC1">
              <w:rPr>
                <w:rFonts w:ascii="Arial" w:hAnsi="Arial" w:cs="Arial"/>
                <w:b/>
              </w:rPr>
              <w:t>Remuneration</w:t>
            </w:r>
          </w:p>
          <w:p w:rsidR="00FC547C" w:rsidRPr="00A07CC1" w:rsidRDefault="00FC547C" w:rsidP="00D04B72">
            <w:pPr>
              <w:rPr>
                <w:rFonts w:ascii="Arial" w:hAnsi="Arial" w:cs="Arial"/>
                <w:b/>
              </w:rPr>
            </w:pPr>
          </w:p>
          <w:p w:rsidR="00FC547C" w:rsidRPr="00A07CC1" w:rsidRDefault="00FC547C" w:rsidP="00D04B72">
            <w:pPr>
              <w:rPr>
                <w:rFonts w:ascii="Arial" w:hAnsi="Arial" w:cs="Arial"/>
              </w:rPr>
            </w:pPr>
            <w:r w:rsidRPr="00A07CC1">
              <w:rPr>
                <w:rFonts w:ascii="Arial" w:hAnsi="Arial" w:cs="Arial"/>
              </w:rPr>
              <w:t>Payment for delivering a local enhanced service will include the following elements:</w:t>
            </w:r>
          </w:p>
          <w:p w:rsidR="00FC547C" w:rsidRPr="00A07CC1" w:rsidRDefault="00FC547C" w:rsidP="00FC547C">
            <w:pPr>
              <w:pStyle w:val="ListParagraph"/>
              <w:numPr>
                <w:ilvl w:val="0"/>
                <w:numId w:val="5"/>
              </w:numPr>
              <w:rPr>
                <w:rFonts w:ascii="Arial" w:hAnsi="Arial" w:cs="Arial"/>
              </w:rPr>
            </w:pPr>
            <w:r w:rsidRPr="00A07CC1">
              <w:rPr>
                <w:rFonts w:ascii="Arial" w:hAnsi="Arial" w:cs="Arial"/>
              </w:rPr>
              <w:t>Annual payment of £50.00</w:t>
            </w:r>
          </w:p>
          <w:p w:rsidR="00FC547C" w:rsidRPr="00A07CC1" w:rsidRDefault="00FC547C" w:rsidP="00FC547C">
            <w:pPr>
              <w:pStyle w:val="ListParagraph"/>
              <w:numPr>
                <w:ilvl w:val="0"/>
                <w:numId w:val="5"/>
              </w:numPr>
              <w:rPr>
                <w:rFonts w:ascii="Arial" w:hAnsi="Arial" w:cs="Arial"/>
              </w:rPr>
            </w:pPr>
            <w:r w:rsidRPr="00A07CC1">
              <w:rPr>
                <w:rFonts w:ascii="Arial" w:hAnsi="Arial" w:cs="Arial"/>
              </w:rPr>
              <w:t>Dispensing fee of £1.50 per intervention (any number of packs dispensed on a single occasion) to be paid 6 monthly</w:t>
            </w:r>
          </w:p>
        </w:tc>
      </w:tr>
      <w:tr w:rsidR="00FC547C" w:rsidRPr="00A07CC1" w:rsidTr="006C7821">
        <w:trPr>
          <w:trHeight w:val="841"/>
        </w:trPr>
        <w:tc>
          <w:tcPr>
            <w:tcW w:w="9242" w:type="dxa"/>
          </w:tcPr>
          <w:p w:rsidR="00FC547C" w:rsidRPr="00A07CC1" w:rsidRDefault="00FC547C" w:rsidP="00D04B72">
            <w:pPr>
              <w:rPr>
                <w:rFonts w:ascii="Arial" w:hAnsi="Arial" w:cs="Arial"/>
                <w:b/>
              </w:rPr>
            </w:pPr>
            <w:r w:rsidRPr="00A07CC1">
              <w:rPr>
                <w:rFonts w:ascii="Arial" w:hAnsi="Arial" w:cs="Arial"/>
                <w:b/>
              </w:rPr>
              <w:t>Notice Periods</w:t>
            </w:r>
          </w:p>
          <w:p w:rsidR="00FC547C" w:rsidRPr="00A07CC1" w:rsidRDefault="00FC547C" w:rsidP="00D04B72">
            <w:pPr>
              <w:rPr>
                <w:rFonts w:ascii="Arial" w:hAnsi="Arial" w:cs="Arial"/>
              </w:rPr>
            </w:pPr>
            <w:r w:rsidRPr="00A07CC1">
              <w:rPr>
                <w:rFonts w:ascii="Arial" w:hAnsi="Arial" w:cs="Arial"/>
              </w:rPr>
              <w:t>Services may be commissioned/</w:t>
            </w:r>
            <w:r w:rsidR="0024491E" w:rsidRPr="00A07CC1">
              <w:rPr>
                <w:rFonts w:ascii="Arial" w:hAnsi="Arial" w:cs="Arial"/>
              </w:rPr>
              <w:t xml:space="preserve"> </w:t>
            </w:r>
            <w:r w:rsidRPr="00A07CC1">
              <w:rPr>
                <w:rFonts w:ascii="Arial" w:hAnsi="Arial" w:cs="Arial"/>
              </w:rPr>
              <w:t>decommissioned by BDP to meet the needs of the population. Any changes in service will be made with a minimum of 1 months notice.</w:t>
            </w:r>
          </w:p>
          <w:p w:rsidR="00FC547C" w:rsidRPr="00A07CC1" w:rsidRDefault="00FC547C" w:rsidP="00D04B72">
            <w:pPr>
              <w:rPr>
                <w:rFonts w:ascii="Arial" w:hAnsi="Arial" w:cs="Arial"/>
              </w:rPr>
            </w:pPr>
            <w:r w:rsidRPr="00A07CC1">
              <w:rPr>
                <w:rFonts w:ascii="Arial" w:hAnsi="Arial" w:cs="Arial"/>
              </w:rPr>
              <w:t>The Pharmacy Contractor has the right to set limits to numbers of clients and/or withdraw from the scheme with a minimum of 1 months notice.</w:t>
            </w:r>
          </w:p>
          <w:p w:rsidR="00FC547C" w:rsidRPr="00A07CC1" w:rsidRDefault="00FC547C" w:rsidP="00D04B72">
            <w:pPr>
              <w:rPr>
                <w:rFonts w:ascii="Arial" w:hAnsi="Arial" w:cs="Arial"/>
              </w:rPr>
            </w:pPr>
            <w:r w:rsidRPr="00A07CC1">
              <w:rPr>
                <w:rFonts w:ascii="Arial" w:hAnsi="Arial" w:cs="Arial"/>
              </w:rPr>
              <w:t>The coordination of Bristol Needle Exchange and Harm Reduction Service is a commissioned service. Any changes to the provider organisation will be communicated by Safer Bristol to participating Pharmacies within 1 month of the decision being public.</w:t>
            </w:r>
          </w:p>
          <w:p w:rsidR="00FC547C" w:rsidRPr="00A07CC1" w:rsidRDefault="00FC547C" w:rsidP="00D04B72">
            <w:pPr>
              <w:rPr>
                <w:rFonts w:ascii="Arial" w:hAnsi="Arial" w:cs="Arial"/>
              </w:rPr>
            </w:pPr>
            <w:r w:rsidRPr="00A07CC1">
              <w:rPr>
                <w:rFonts w:ascii="Arial" w:hAnsi="Arial" w:cs="Arial"/>
              </w:rPr>
              <w:t>Pharmacies are requested to sign and return this pr</w:t>
            </w:r>
            <w:r w:rsidR="006C7821" w:rsidRPr="00A07CC1">
              <w:rPr>
                <w:rFonts w:ascii="Arial" w:hAnsi="Arial" w:cs="Arial"/>
              </w:rPr>
              <w:t xml:space="preserve">o forma to confirm acceptance. Please note that no payment can be made </w:t>
            </w:r>
            <w:proofErr w:type="spellStart"/>
            <w:r w:rsidR="006C7821" w:rsidRPr="00A07CC1">
              <w:rPr>
                <w:rFonts w:ascii="Arial" w:hAnsi="Arial" w:cs="Arial"/>
              </w:rPr>
              <w:t>intil</w:t>
            </w:r>
            <w:proofErr w:type="spellEnd"/>
            <w:r w:rsidR="006C7821" w:rsidRPr="00A07CC1">
              <w:rPr>
                <w:rFonts w:ascii="Arial" w:hAnsi="Arial" w:cs="Arial"/>
              </w:rPr>
              <w:t xml:space="preserve"> this form is completed, signed and returned to:</w:t>
            </w:r>
          </w:p>
          <w:p w:rsidR="006C7821" w:rsidRPr="00A07CC1" w:rsidRDefault="006C7821" w:rsidP="00D04B72">
            <w:pPr>
              <w:rPr>
                <w:rFonts w:ascii="Arial" w:hAnsi="Arial" w:cs="Arial"/>
              </w:rPr>
            </w:pPr>
            <w:r w:rsidRPr="00A07CC1">
              <w:rPr>
                <w:rFonts w:ascii="Arial" w:hAnsi="Arial" w:cs="Arial"/>
              </w:rPr>
              <w:t>Service Manager, BDP, 11 Brunswick Square BS2 8PE</w:t>
            </w:r>
          </w:p>
        </w:tc>
      </w:tr>
    </w:tbl>
    <w:p w:rsidR="003F710A" w:rsidRPr="00A07CC1" w:rsidRDefault="003F710A" w:rsidP="003F710A">
      <w:pPr>
        <w:rPr>
          <w:rFonts w:ascii="Arial" w:hAnsi="Arial" w:cs="Arial"/>
          <w:b/>
        </w:rPr>
      </w:pPr>
    </w:p>
    <w:p w:rsidR="006C7821" w:rsidRPr="00A07CC1" w:rsidRDefault="006C7821" w:rsidP="003F710A">
      <w:pPr>
        <w:rPr>
          <w:rFonts w:ascii="Arial" w:hAnsi="Arial" w:cs="Arial"/>
        </w:rPr>
        <w:sectPr w:rsidR="006C7821" w:rsidRPr="00A07CC1">
          <w:pgSz w:w="11906" w:h="16838"/>
          <w:pgMar w:top="1440" w:right="1440" w:bottom="1440" w:left="1440" w:header="708" w:footer="708" w:gutter="0"/>
          <w:cols w:space="708"/>
          <w:docGrid w:linePitch="360"/>
        </w:sectPr>
      </w:pPr>
    </w:p>
    <w:p w:rsidR="006C7821" w:rsidRPr="00A07CC1" w:rsidRDefault="006C7821" w:rsidP="003F710A">
      <w:pPr>
        <w:rPr>
          <w:rFonts w:ascii="Arial" w:hAnsi="Arial" w:cs="Arial"/>
        </w:rPr>
      </w:pPr>
      <w:r w:rsidRPr="00A07CC1">
        <w:rPr>
          <w:rFonts w:ascii="Arial" w:hAnsi="Arial" w:cs="Arial"/>
        </w:rPr>
        <w:t xml:space="preserve">Lead Pharmacist for drug misuse     </w:t>
      </w:r>
    </w:p>
    <w:p w:rsidR="006C7821" w:rsidRPr="00A07CC1" w:rsidRDefault="006C7821" w:rsidP="003F710A">
      <w:pPr>
        <w:rPr>
          <w:rFonts w:ascii="Arial" w:hAnsi="Arial" w:cs="Arial"/>
        </w:rPr>
      </w:pPr>
      <w:r w:rsidRPr="00A07CC1">
        <w:rPr>
          <w:rFonts w:ascii="Arial" w:hAnsi="Arial" w:cs="Arial"/>
        </w:rPr>
        <w:t>Number of clients currently participating in needle Exchange (if applicable)</w:t>
      </w:r>
    </w:p>
    <w:p w:rsidR="006C7821" w:rsidRPr="00A07CC1" w:rsidRDefault="006C7821" w:rsidP="003F710A">
      <w:pPr>
        <w:rPr>
          <w:rFonts w:ascii="Arial" w:hAnsi="Arial" w:cs="Arial"/>
        </w:rPr>
      </w:pPr>
    </w:p>
    <w:p w:rsidR="006C7821" w:rsidRPr="00A07CC1" w:rsidRDefault="006C7821" w:rsidP="003F710A">
      <w:pPr>
        <w:rPr>
          <w:rFonts w:ascii="Arial" w:hAnsi="Arial" w:cs="Arial"/>
        </w:rPr>
      </w:pPr>
      <w:r w:rsidRPr="00A07CC1">
        <w:rPr>
          <w:rFonts w:ascii="Arial" w:hAnsi="Arial" w:cs="Arial"/>
        </w:rPr>
        <w:t>Signed on behalf of the pharmacy (please print name)</w:t>
      </w:r>
    </w:p>
    <w:p w:rsidR="006C7821" w:rsidRPr="00A07CC1" w:rsidRDefault="006C7821" w:rsidP="003F710A">
      <w:pPr>
        <w:rPr>
          <w:rFonts w:ascii="Arial" w:hAnsi="Arial" w:cs="Arial"/>
        </w:rPr>
      </w:pPr>
    </w:p>
    <w:p w:rsidR="006C7821" w:rsidRPr="00A07CC1" w:rsidRDefault="00C47909" w:rsidP="003F710A">
      <w:pPr>
        <w:rPr>
          <w:rFonts w:ascii="Arial" w:hAnsi="Arial" w:cs="Arial"/>
        </w:rPr>
      </w:pPr>
      <w:r w:rsidRPr="00A07CC1">
        <w:rPr>
          <w:rFonts w:ascii="Arial" w:hAnsi="Arial" w:cs="Arial"/>
        </w:rPr>
        <w:t>Signature</w:t>
      </w: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p w:rsidR="006C7821" w:rsidRPr="00A07CC1" w:rsidRDefault="006C7821" w:rsidP="003F710A">
      <w:pPr>
        <w:rPr>
          <w:rFonts w:ascii="Arial" w:hAnsi="Arial" w:cs="Arial"/>
        </w:rPr>
      </w:pPr>
    </w:p>
    <w:sectPr w:rsidR="006C7821" w:rsidRPr="00A07CC1" w:rsidSect="006C782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638"/>
    <w:multiLevelType w:val="hybridMultilevel"/>
    <w:tmpl w:val="4014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83256"/>
    <w:multiLevelType w:val="hybridMultilevel"/>
    <w:tmpl w:val="B42A1BA0"/>
    <w:lvl w:ilvl="0" w:tplc="F1365C38">
      <w:start w:val="1"/>
      <w:numFmt w:val="decimal"/>
      <w:lvlText w:val="2.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E1218"/>
    <w:multiLevelType w:val="multilevel"/>
    <w:tmpl w:val="BD18BD2E"/>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CC317FC"/>
    <w:multiLevelType w:val="hybridMultilevel"/>
    <w:tmpl w:val="A3545354"/>
    <w:lvl w:ilvl="0" w:tplc="CA967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13CC2"/>
    <w:multiLevelType w:val="hybridMultilevel"/>
    <w:tmpl w:val="58C8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0A"/>
    <w:rsid w:val="000057CA"/>
    <w:rsid w:val="000C2297"/>
    <w:rsid w:val="0024491E"/>
    <w:rsid w:val="00270BC8"/>
    <w:rsid w:val="00326185"/>
    <w:rsid w:val="00342CFC"/>
    <w:rsid w:val="003946E4"/>
    <w:rsid w:val="003B5E97"/>
    <w:rsid w:val="003F710A"/>
    <w:rsid w:val="0041385F"/>
    <w:rsid w:val="005A4F04"/>
    <w:rsid w:val="005F172D"/>
    <w:rsid w:val="006C7821"/>
    <w:rsid w:val="006D227E"/>
    <w:rsid w:val="00A07CC1"/>
    <w:rsid w:val="00AA6EE2"/>
    <w:rsid w:val="00B529E9"/>
    <w:rsid w:val="00C47909"/>
    <w:rsid w:val="00D04B72"/>
    <w:rsid w:val="00D32132"/>
    <w:rsid w:val="00DE5207"/>
    <w:rsid w:val="00F913C0"/>
    <w:rsid w:val="00FC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3E177-2E2A-9B4E-8416-499BDB23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0A"/>
    <w:rPr>
      <w:rFonts w:ascii="Tahoma" w:hAnsi="Tahoma" w:cs="Tahoma"/>
      <w:sz w:val="16"/>
      <w:szCs w:val="16"/>
    </w:rPr>
  </w:style>
  <w:style w:type="table" w:styleId="TableGrid">
    <w:name w:val="Table Grid"/>
    <w:basedOn w:val="TableNormal"/>
    <w:uiPriority w:val="59"/>
    <w:rsid w:val="003F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A69F-2809-FE49-A427-5687291E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Drugs Project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Perkins-Edge</dc:creator>
  <cp:lastModifiedBy>Richard Brown</cp:lastModifiedBy>
  <cp:revision>2</cp:revision>
  <dcterms:created xsi:type="dcterms:W3CDTF">2018-02-20T09:02:00Z</dcterms:created>
  <dcterms:modified xsi:type="dcterms:W3CDTF">2018-02-20T09:02:00Z</dcterms:modified>
</cp:coreProperties>
</file>